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3CB84" w14:textId="233AE433" w:rsidR="00674104" w:rsidRPr="00674104" w:rsidRDefault="00674104" w:rsidP="00674104">
      <w:pPr>
        <w:tabs>
          <w:tab w:val="right" w:pos="9639"/>
        </w:tabs>
        <w:spacing w:after="0" w:line="240" w:lineRule="auto"/>
        <w:rPr>
          <w:rFonts w:ascii="Arial" w:eastAsia="Times New Roman" w:hAnsi="Arial" w:cs="Times New Roman"/>
          <w:b/>
          <w:i/>
          <w:noProof/>
          <w:kern w:val="0"/>
          <w:sz w:val="28"/>
          <w:szCs w:val="20"/>
          <w:lang w:val="en-GB"/>
          <w14:ligatures w14:val="none"/>
        </w:rPr>
      </w:pPr>
      <w:r w:rsidRPr="00674104">
        <w:rPr>
          <w:rFonts w:ascii="Arial" w:eastAsia="Times New Roman" w:hAnsi="Arial" w:cs="Times New Roman"/>
          <w:b/>
          <w:noProof/>
          <w:kern w:val="0"/>
          <w:sz w:val="24"/>
          <w:szCs w:val="20"/>
          <w:lang w:val="en-GB"/>
          <w14:ligatures w14:val="none"/>
        </w:rPr>
        <w:t>3GPP TSG-</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TSG/WGRef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RAN2</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Meeting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MtgSeq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125</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MtgTitle  \* MERGEFORMAT </w:instrText>
      </w:r>
      <w:r w:rsidR="000E6F6A">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kern w:val="0"/>
          <w:sz w:val="20"/>
          <w:szCs w:val="20"/>
          <w:lang w:val="en-GB"/>
          <w14:ligatures w14:val="none"/>
        </w:rPr>
        <w:fldChar w:fldCharType="end"/>
      </w:r>
      <w:r w:rsidRPr="00674104">
        <w:rPr>
          <w:rFonts w:ascii="Arial" w:eastAsia="Times New Roman" w:hAnsi="Arial" w:cs="Times New Roman"/>
          <w:b/>
          <w:i/>
          <w:noProof/>
          <w:kern w:val="0"/>
          <w:sz w:val="28"/>
          <w:szCs w:val="20"/>
          <w:lang w:val="en-GB"/>
          <w14:ligatures w14:val="none"/>
        </w:rPr>
        <w:tab/>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Tdoc#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i/>
          <w:noProof/>
          <w:kern w:val="0"/>
          <w:sz w:val="28"/>
          <w:szCs w:val="20"/>
          <w:lang w:val="en-GB"/>
          <w14:ligatures w14:val="none"/>
        </w:rPr>
        <w:t>R2-2400</w:t>
      </w:r>
      <w:r>
        <w:rPr>
          <w:rFonts w:ascii="Arial" w:eastAsia="Times New Roman" w:hAnsi="Arial" w:cs="Times New Roman"/>
          <w:b/>
          <w:i/>
          <w:noProof/>
          <w:kern w:val="0"/>
          <w:sz w:val="28"/>
          <w:szCs w:val="20"/>
          <w:lang w:val="en-GB"/>
          <w14:ligatures w14:val="none"/>
        </w:rPr>
        <w:t>83</w:t>
      </w:r>
      <w:r w:rsidR="00451413">
        <w:rPr>
          <w:rFonts w:ascii="Arial" w:eastAsia="Times New Roman" w:hAnsi="Arial" w:cs="Times New Roman"/>
          <w:b/>
          <w:i/>
          <w:noProof/>
          <w:kern w:val="0"/>
          <w:sz w:val="28"/>
          <w:szCs w:val="20"/>
          <w:lang w:val="en-GB"/>
          <w14:ligatures w14:val="none"/>
        </w:rPr>
        <w:t>2</w:t>
      </w:r>
      <w:r w:rsidRPr="00674104">
        <w:rPr>
          <w:rFonts w:ascii="Arial" w:eastAsia="Times New Roman" w:hAnsi="Arial" w:cs="Times New Roman"/>
          <w:b/>
          <w:i/>
          <w:noProof/>
          <w:kern w:val="0"/>
          <w:sz w:val="28"/>
          <w:szCs w:val="20"/>
          <w:lang w:val="en-GB"/>
          <w14:ligatures w14:val="none"/>
        </w:rPr>
        <w:fldChar w:fldCharType="end"/>
      </w:r>
    </w:p>
    <w:p w14:paraId="32937AF1" w14:textId="77777777" w:rsidR="00674104" w:rsidRPr="00674104" w:rsidRDefault="00674104" w:rsidP="00674104">
      <w:pPr>
        <w:spacing w:after="120" w:line="240" w:lineRule="auto"/>
        <w:outlineLvl w:val="0"/>
        <w:rPr>
          <w:rFonts w:ascii="Arial" w:eastAsia="Times New Roman" w:hAnsi="Arial" w:cs="Times New Roman"/>
          <w:b/>
          <w:noProof/>
          <w:kern w:val="0"/>
          <w:sz w:val="24"/>
          <w:szCs w:val="20"/>
          <w:lang w:val="en-GB"/>
          <w14:ligatures w14:val="none"/>
        </w:rPr>
      </w:pP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Location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Athens</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Country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Greece</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StartDate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26th Feb 2024</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EndDate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1st Mar 2024</w:t>
      </w:r>
      <w:r w:rsidRPr="00674104">
        <w:rPr>
          <w:rFonts w:ascii="Arial" w:eastAsia="Times New Roman" w:hAnsi="Arial" w:cs="Times New Roman"/>
          <w:b/>
          <w:noProof/>
          <w:kern w:val="0"/>
          <w:sz w:val="24"/>
          <w:szCs w:val="20"/>
          <w:lang w:val="en-GB"/>
          <w14:ligatures w14:val="none"/>
        </w:rPr>
        <w:fldChar w:fldCharType="end"/>
      </w:r>
    </w:p>
    <w:p w14:paraId="5EE05048" w14:textId="77777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b/>
          <w:bCs/>
          <w:kern w:val="0"/>
          <w:sz w:val="24"/>
          <w:szCs w:val="24"/>
          <w14:ligatures w14:val="none"/>
        </w:rPr>
      </w:pPr>
    </w:p>
    <w:p w14:paraId="5E74C71A" w14:textId="04F4A5EB"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Agenda item:</w:t>
      </w:r>
      <w:r w:rsidRPr="00674104">
        <w:rPr>
          <w:rFonts w:ascii="Times New Roman" w:eastAsia="Times New Roman" w:hAnsi="Times New Roman" w:cs="Times New Roman"/>
          <w:kern w:val="0"/>
          <w:sz w:val="20"/>
          <w:szCs w:val="20"/>
          <w:lang w:val="en-GB"/>
          <w14:ligatures w14:val="none"/>
        </w:rPr>
        <w:tab/>
      </w:r>
      <w:bookmarkStart w:id="0" w:name="Source"/>
      <w:bookmarkEnd w:id="0"/>
      <w:r w:rsidRPr="00674104">
        <w:rPr>
          <w:rFonts w:ascii="Arial" w:eastAsia="Times New Roman" w:hAnsi="Arial" w:cs="Times New Roman"/>
          <w:kern w:val="0"/>
          <w:sz w:val="24"/>
          <w:szCs w:val="24"/>
          <w14:ligatures w14:val="none"/>
        </w:rPr>
        <w:t>7.8.</w:t>
      </w:r>
      <w:r>
        <w:rPr>
          <w:rFonts w:ascii="Arial" w:eastAsia="Times New Roman" w:hAnsi="Arial" w:cs="Times New Roman"/>
          <w:kern w:val="0"/>
          <w:sz w:val="24"/>
          <w:szCs w:val="24"/>
          <w14:ligatures w14:val="none"/>
        </w:rPr>
        <w:t>1</w:t>
      </w:r>
    </w:p>
    <w:p w14:paraId="41070E55" w14:textId="15127D10"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Work Item:</w:t>
      </w:r>
      <w:r w:rsidRPr="00674104">
        <w:rPr>
          <w:rFonts w:ascii="Times New Roman" w:eastAsia="Times New Roman" w:hAnsi="Times New Roman" w:cs="Times New Roman"/>
          <w:kern w:val="0"/>
          <w:sz w:val="20"/>
          <w:szCs w:val="20"/>
          <w:lang w:val="en-GB"/>
          <w14:ligatures w14:val="none"/>
        </w:rPr>
        <w:tab/>
      </w:r>
      <w:r w:rsidR="00451413">
        <w:rPr>
          <w:rFonts w:ascii="Arial" w:eastAsia="Times New Roman" w:hAnsi="Arial" w:cs="Times New Roman"/>
          <w:kern w:val="0"/>
          <w:sz w:val="24"/>
          <w:szCs w:val="24"/>
          <w14:ligatures w14:val="none"/>
        </w:rPr>
        <w:t>NR_</w:t>
      </w:r>
      <w:r w:rsidRPr="00674104">
        <w:rPr>
          <w:rFonts w:ascii="Arial" w:eastAsia="Times New Roman" w:hAnsi="Arial" w:cs="Times New Roman"/>
          <w:kern w:val="0"/>
          <w:sz w:val="24"/>
          <w:szCs w:val="24"/>
          <w14:ligatures w14:val="none"/>
        </w:rPr>
        <w:t>UAV-Core</w:t>
      </w:r>
    </w:p>
    <w:p w14:paraId="46BD9D35" w14:textId="77777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0"/>
          <w14:ligatures w14:val="none"/>
        </w:rPr>
      </w:pPr>
      <w:r w:rsidRPr="00674104">
        <w:rPr>
          <w:rFonts w:ascii="Arial" w:eastAsia="Times New Roman" w:hAnsi="Arial" w:cs="Times New Roman"/>
          <w:b/>
          <w:kern w:val="0"/>
          <w:sz w:val="24"/>
          <w:szCs w:val="20"/>
          <w14:ligatures w14:val="none"/>
        </w:rPr>
        <w:t xml:space="preserve">Source: </w:t>
      </w:r>
      <w:r w:rsidRPr="00674104">
        <w:rPr>
          <w:rFonts w:ascii="Arial" w:eastAsia="Times New Roman" w:hAnsi="Arial" w:cs="Times New Roman"/>
          <w:b/>
          <w:kern w:val="0"/>
          <w:sz w:val="24"/>
          <w:szCs w:val="20"/>
          <w14:ligatures w14:val="none"/>
        </w:rPr>
        <w:tab/>
      </w:r>
      <w:r w:rsidRPr="00674104">
        <w:rPr>
          <w:rFonts w:ascii="Arial" w:eastAsia="Times New Roman" w:hAnsi="Arial" w:cs="Times New Roman"/>
          <w:kern w:val="0"/>
          <w:sz w:val="24"/>
          <w:szCs w:val="20"/>
          <w14:ligatures w14:val="none"/>
        </w:rPr>
        <w:t>Qualcomm Incorporated</w:t>
      </w:r>
    </w:p>
    <w:p w14:paraId="7344DB49" w14:textId="0154843E" w:rsidR="00674104" w:rsidRPr="00674104" w:rsidRDefault="00674104" w:rsidP="00674104">
      <w:pPr>
        <w:overflowPunct w:val="0"/>
        <w:autoSpaceDE w:val="0"/>
        <w:autoSpaceDN w:val="0"/>
        <w:adjustRightInd w:val="0"/>
        <w:spacing w:after="180" w:line="276" w:lineRule="auto"/>
        <w:ind w:left="1988" w:hanging="1988"/>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Title:</w:t>
      </w:r>
      <w:r w:rsidRPr="00674104">
        <w:rPr>
          <w:rFonts w:ascii="Arial" w:eastAsia="Times New Roman" w:hAnsi="Arial" w:cs="Times New Roman"/>
          <w:kern w:val="0"/>
          <w:sz w:val="24"/>
          <w:szCs w:val="24"/>
          <w14:ligatures w14:val="none"/>
        </w:rPr>
        <w:t xml:space="preserve"> </w:t>
      </w:r>
      <w:r w:rsidRPr="00674104">
        <w:rPr>
          <w:rFonts w:ascii="Times New Roman" w:eastAsia="Times New Roman" w:hAnsi="Times New Roman" w:cs="Times New Roman"/>
          <w:kern w:val="0"/>
          <w:sz w:val="20"/>
          <w:szCs w:val="20"/>
          <w:lang w:val="en-GB"/>
          <w14:ligatures w14:val="none"/>
        </w:rPr>
        <w:tab/>
      </w:r>
      <w:r w:rsidR="00451413">
        <w:rPr>
          <w:rFonts w:ascii="Arial" w:eastAsia="Times New Roman" w:hAnsi="Arial" w:cs="Times New Roman"/>
          <w:kern w:val="0"/>
          <w:sz w:val="24"/>
          <w:szCs w:val="24"/>
          <w14:ligatures w14:val="none"/>
        </w:rPr>
        <w:t xml:space="preserve">NR </w:t>
      </w:r>
      <w:r w:rsidRPr="00674104">
        <w:rPr>
          <w:rFonts w:ascii="Arial" w:eastAsia="Times New Roman" w:hAnsi="Arial" w:cs="Times New Roman"/>
          <w:kern w:val="0"/>
          <w:sz w:val="24"/>
          <w:szCs w:val="24"/>
          <w14:ligatures w14:val="none"/>
        </w:rPr>
        <w:t>UAV: Proposed resolutions to ASN.1 review and other open issues</w:t>
      </w:r>
    </w:p>
    <w:p w14:paraId="339D61FA" w14:textId="2BBB8178" w:rsidR="00674104" w:rsidRPr="00674104" w:rsidRDefault="00674104" w:rsidP="00674104">
      <w:pPr>
        <w:overflowPunct w:val="0"/>
        <w:autoSpaceDE w:val="0"/>
        <w:autoSpaceDN w:val="0"/>
        <w:adjustRightInd w:val="0"/>
        <w:spacing w:after="180" w:line="276" w:lineRule="auto"/>
        <w:ind w:left="1988" w:hanging="1988"/>
        <w:textAlignment w:val="baseline"/>
        <w:rPr>
          <w:rFonts w:ascii="Arial" w:eastAsia="Times New Roman" w:hAnsi="Arial" w:cs="Times New Roman"/>
          <w:kern w:val="0"/>
          <w:sz w:val="24"/>
          <w:szCs w:val="20"/>
          <w14:ligatures w14:val="none"/>
        </w:rPr>
      </w:pPr>
      <w:r w:rsidRPr="00674104">
        <w:rPr>
          <w:rFonts w:ascii="Arial" w:eastAsia="Times New Roman" w:hAnsi="Arial" w:cs="Times New Roman"/>
          <w:b/>
          <w:kern w:val="0"/>
          <w:sz w:val="24"/>
          <w:szCs w:val="20"/>
          <w14:ligatures w14:val="none"/>
        </w:rPr>
        <w:t>Document for:</w:t>
      </w:r>
      <w:bookmarkStart w:id="1" w:name="DocumentFor"/>
      <w:bookmarkEnd w:id="1"/>
      <w:r>
        <w:rPr>
          <w:rFonts w:ascii="Arial" w:eastAsia="Times New Roman" w:hAnsi="Arial" w:cs="Times New Roman"/>
          <w:kern w:val="0"/>
          <w:sz w:val="24"/>
          <w:szCs w:val="20"/>
          <w14:ligatures w14:val="none"/>
        </w:rPr>
        <w:tab/>
      </w:r>
      <w:r w:rsidRPr="00674104">
        <w:rPr>
          <w:rFonts w:ascii="Arial" w:eastAsia="Times New Roman" w:hAnsi="Arial" w:cs="Times New Roman"/>
          <w:kern w:val="0"/>
          <w:sz w:val="24"/>
          <w:szCs w:val="20"/>
          <w14:ligatures w14:val="none"/>
        </w:rPr>
        <w:t>Discussion/Decision</w:t>
      </w:r>
    </w:p>
    <w:p w14:paraId="37C4815F" w14:textId="77777777" w:rsidR="00674104" w:rsidRPr="00674104" w:rsidRDefault="00674104" w:rsidP="00674104">
      <w:pPr>
        <w:overflowPunct w:val="0"/>
        <w:autoSpaceDE w:val="0"/>
        <w:autoSpaceDN w:val="0"/>
        <w:adjustRightInd w:val="0"/>
        <w:spacing w:after="180" w:line="276" w:lineRule="auto"/>
        <w:ind w:left="1988" w:hanging="1988"/>
        <w:textAlignment w:val="baseline"/>
        <w:rPr>
          <w:rFonts w:ascii="Times New Roman" w:eastAsia="Times New Roman" w:hAnsi="Times New Roman" w:cs="Times New Roman"/>
          <w:kern w:val="0"/>
          <w:sz w:val="20"/>
          <w:szCs w:val="20"/>
          <w:lang w:val="en-GB"/>
          <w14:ligatures w14:val="none"/>
        </w:rPr>
      </w:pPr>
    </w:p>
    <w:p w14:paraId="08A3F348" w14:textId="77777777" w:rsidR="00674104" w:rsidRPr="00A6313E" w:rsidRDefault="00674104" w:rsidP="00A6313E">
      <w:pPr>
        <w:pStyle w:val="ListParagraph"/>
        <w:keepNext/>
        <w:keepLines/>
        <w:numPr>
          <w:ilvl w:val="0"/>
          <w:numId w:val="2"/>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Introduction</w:t>
      </w:r>
    </w:p>
    <w:p w14:paraId="4ECD7345" w14:textId="51FE3B07" w:rsidR="00623E86" w:rsidRDefault="00FE15D2">
      <w:pPr>
        <w:rPr>
          <w:sz w:val="20"/>
          <w:szCs w:val="20"/>
        </w:rPr>
      </w:pPr>
      <w:r>
        <w:rPr>
          <w:sz w:val="20"/>
          <w:szCs w:val="20"/>
        </w:rPr>
        <w:t>In this document, rapporteur resolution to the remaining open issues and ASN.1 RILs are provided.</w:t>
      </w:r>
    </w:p>
    <w:p w14:paraId="1626E5E6" w14:textId="455B4061" w:rsidR="00FE15D2" w:rsidRPr="00A6313E" w:rsidRDefault="00FE15D2" w:rsidP="00A6313E">
      <w:pPr>
        <w:pStyle w:val="ListParagraph"/>
        <w:keepNext/>
        <w:keepLines/>
        <w:numPr>
          <w:ilvl w:val="0"/>
          <w:numId w:val="2"/>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Remaining open issues other than ASN.1 review RILs</w:t>
      </w:r>
    </w:p>
    <w:p w14:paraId="10D0E2E6" w14:textId="5D725C2F" w:rsidR="00A6313E" w:rsidRDefault="003273AF">
      <w:pPr>
        <w:rPr>
          <w:sz w:val="20"/>
          <w:szCs w:val="20"/>
        </w:rPr>
      </w:pPr>
      <w:r>
        <w:rPr>
          <w:sz w:val="20"/>
          <w:szCs w:val="20"/>
        </w:rPr>
        <w:t>Following open issues were listed in the email thread “</w:t>
      </w:r>
      <w:r w:rsidRPr="003273AF">
        <w:rPr>
          <w:sz w:val="20"/>
          <w:szCs w:val="20"/>
        </w:rPr>
        <w:t>[POST</w:t>
      </w:r>
      <w:proofErr w:type="gramStart"/>
      <w:r w:rsidRPr="003273AF">
        <w:rPr>
          <w:sz w:val="20"/>
          <w:szCs w:val="20"/>
        </w:rPr>
        <w:t>124][</w:t>
      </w:r>
      <w:proofErr w:type="gramEnd"/>
      <w:r w:rsidRPr="003273AF">
        <w:rPr>
          <w:sz w:val="20"/>
          <w:szCs w:val="20"/>
        </w:rPr>
        <w:t>UAV][38.331/36.331] Open Issue list</w:t>
      </w:r>
      <w:r>
        <w:rPr>
          <w:sz w:val="20"/>
          <w:szCs w:val="20"/>
        </w:rPr>
        <w:t>”</w:t>
      </w:r>
      <w:r w:rsidR="00451413">
        <w:rPr>
          <w:sz w:val="20"/>
          <w:szCs w:val="20"/>
        </w:rPr>
        <w:t xml:space="preserve"> for NR UAV:</w:t>
      </w:r>
    </w:p>
    <w:tbl>
      <w:tblPr>
        <w:tblStyle w:val="TableGrid"/>
        <w:tblW w:w="0" w:type="auto"/>
        <w:tblLook w:val="04A0" w:firstRow="1" w:lastRow="0" w:firstColumn="1" w:lastColumn="0" w:noHBand="0" w:noVBand="1"/>
      </w:tblPr>
      <w:tblGrid>
        <w:gridCol w:w="9350"/>
      </w:tblGrid>
      <w:tr w:rsidR="00841648" w14:paraId="118CAD32" w14:textId="77777777" w:rsidTr="00841648">
        <w:tc>
          <w:tcPr>
            <w:tcW w:w="9350" w:type="dxa"/>
          </w:tcPr>
          <w:p w14:paraId="464F69FD" w14:textId="77777777" w:rsidR="003C0E49" w:rsidRDefault="003C0E49" w:rsidP="003C0E49">
            <w:r>
              <w:t xml:space="preserve">For </w:t>
            </w:r>
            <w:r>
              <w:rPr>
                <w:b/>
                <w:bCs/>
              </w:rPr>
              <w:t>TS 38.331</w:t>
            </w:r>
            <w:r>
              <w:t>:</w:t>
            </w:r>
          </w:p>
          <w:p w14:paraId="6FA1EB25" w14:textId="77777777" w:rsidR="003C0E49" w:rsidRDefault="003C0E49" w:rsidP="003C0E49"/>
          <w:p w14:paraId="31C6DB49" w14:textId="77777777" w:rsidR="003C0E49" w:rsidRDefault="003C0E49" w:rsidP="003C0E49">
            <w:pPr>
              <w:pStyle w:val="ListParagraph"/>
              <w:numPr>
                <w:ilvl w:val="0"/>
                <w:numId w:val="3"/>
              </w:numPr>
              <w:contextualSpacing w:val="0"/>
              <w:rPr>
                <w:rFonts w:eastAsia="Times New Roman"/>
              </w:rPr>
            </w:pPr>
            <w:r>
              <w:rPr>
                <w:rFonts w:eastAsia="Times New Roman"/>
              </w:rPr>
              <w:t>Whether additionalPmax-r18 is needed in NR-NS-PmaxValueAerial-r18. Note that a question has been asked to RAN4 and RAN2 is waiting for the reply.</w:t>
            </w:r>
          </w:p>
          <w:p w14:paraId="34D74847" w14:textId="77777777" w:rsidR="003C0E49" w:rsidRDefault="003C0E49" w:rsidP="003C0E49">
            <w:pPr>
              <w:pStyle w:val="ListParagraph"/>
            </w:pPr>
          </w:p>
          <w:p w14:paraId="41FC8D95" w14:textId="77777777" w:rsidR="003C0E49" w:rsidRDefault="003C0E49" w:rsidP="003C0E49">
            <w:pPr>
              <w:pStyle w:val="ListParagraph"/>
              <w:numPr>
                <w:ilvl w:val="0"/>
                <w:numId w:val="3"/>
              </w:numPr>
              <w:contextualSpacing w:val="0"/>
              <w:rPr>
                <w:rFonts w:eastAsia="Times New Roman"/>
              </w:rPr>
            </w:pPr>
            <w:r>
              <w:rPr>
                <w:rFonts w:eastAsia="Times New Roman"/>
              </w:rPr>
              <w:t>To address the following Editor’s Notes from NR UE capability CR (R2-2313640)</w:t>
            </w:r>
          </w:p>
          <w:p w14:paraId="10D0530A" w14:textId="77777777" w:rsidR="003C0E49" w:rsidRDefault="003C0E49" w:rsidP="003C0E49"/>
          <w:p w14:paraId="230E6C2B" w14:textId="77777777" w:rsidR="003C0E49" w:rsidRDefault="003C0E49" w:rsidP="003C0E49">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bookmarkStart w:id="2" w:name="_Hlk159146428"/>
            <w:r>
              <w:rPr>
                <w:rFonts w:ascii="Courier New" w:hAnsi="Courier New" w:cs="Courier New"/>
                <w:color w:val="000000"/>
                <w:sz w:val="16"/>
                <w:szCs w:val="16"/>
                <w:lang w:eastAsia="en-GB"/>
              </w:rPr>
              <w:t>nr-NS-PmaxListAerial-r18</w:t>
            </w:r>
            <w:bookmarkEnd w:id="2"/>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Understanding is that a UE that doesn’t support any frequency band that requires an aerial specific NS value doesn’t need to implement the procedure for aerial specific NS value. Whether indication is needed is still FFS. This is only shown as placeholder.</w:t>
            </w:r>
          </w:p>
          <w:p w14:paraId="7B5876AC" w14:textId="77777777" w:rsidR="003C0E49" w:rsidRDefault="003C0E49" w:rsidP="003C0E49">
            <w:pPr>
              <w:rPr>
                <w:rFonts w:ascii="Calibri" w:hAnsi="Calibri" w:cs="Calibri"/>
              </w:rPr>
            </w:pPr>
          </w:p>
          <w:p w14:paraId="2EFF41D1" w14:textId="43C5455B" w:rsidR="00841648" w:rsidRPr="00451413" w:rsidRDefault="003C0E49" w:rsidP="00451413">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sl-A2X-Service-r18</w:t>
            </w:r>
            <w:r>
              <w:rPr>
                <w:rFonts w:ascii="Courier New" w:hAnsi="Courier New" w:cs="Courier New"/>
                <w:color w:val="993366"/>
                <w:sz w:val="16"/>
                <w:szCs w:val="16"/>
                <w:lang w:eastAsia="en-GB"/>
              </w:rPr>
              <w:t>                        ENUMERATED</w:t>
            </w:r>
            <w:r>
              <w:rPr>
                <w:rFonts w:ascii="Courier New" w:hAnsi="Courier New" w:cs="Courier New"/>
                <w:color w:val="000000"/>
                <w:sz w:val="16"/>
                <w:szCs w:val="16"/>
                <w:lang w:eastAsia="en-GB"/>
              </w:rPr>
              <w:t xml:space="preserve"> {brid, daa, </w:t>
            </w:r>
            <w:proofErr w:type="gramStart"/>
            <w:r>
              <w:rPr>
                <w:rFonts w:ascii="Courier New" w:hAnsi="Courier New" w:cs="Courier New"/>
                <w:color w:val="000000"/>
                <w:sz w:val="16"/>
                <w:szCs w:val="16"/>
                <w:lang w:eastAsia="en-GB"/>
              </w:rPr>
              <w:t>bridAndDAA}   </w:t>
            </w:r>
            <w:proofErr w:type="gram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Granularity of this capability, e.g. per UE/band/FS is still FFS. Depending on the conclusion, this may need to be moved.</w:t>
            </w:r>
          </w:p>
        </w:tc>
      </w:tr>
    </w:tbl>
    <w:p w14:paraId="15DE5E4A" w14:textId="77777777" w:rsidR="003273AF" w:rsidRDefault="003273AF">
      <w:pPr>
        <w:rPr>
          <w:sz w:val="20"/>
          <w:szCs w:val="20"/>
        </w:rPr>
      </w:pPr>
    </w:p>
    <w:p w14:paraId="14610924" w14:textId="607E7E84" w:rsidR="00841648" w:rsidRDefault="00CD5485" w:rsidP="009E20E3">
      <w:pPr>
        <w:pStyle w:val="Heading2"/>
        <w:numPr>
          <w:ilvl w:val="1"/>
          <w:numId w:val="2"/>
        </w:numPr>
        <w:spacing w:line="276" w:lineRule="auto"/>
        <w:ind w:left="576" w:hanging="576"/>
        <w:rPr>
          <w:i w:val="0"/>
          <w:iCs w:val="0"/>
        </w:rPr>
      </w:pPr>
      <w:r w:rsidRPr="009E20E3">
        <w:rPr>
          <w:i w:val="0"/>
          <w:iCs w:val="0"/>
        </w:rPr>
        <w:t>Proposed resolutions:</w:t>
      </w:r>
    </w:p>
    <w:p w14:paraId="44D06099" w14:textId="49DE9A91" w:rsidR="002F557A" w:rsidRPr="00512097" w:rsidRDefault="002F557A" w:rsidP="002F557A">
      <w:pPr>
        <w:rPr>
          <w:b/>
          <w:bCs/>
          <w:lang w:val="en-GB"/>
        </w:rPr>
      </w:pPr>
      <w:r w:rsidRPr="00512097">
        <w:rPr>
          <w:b/>
          <w:bCs/>
          <w:lang w:val="en-GB"/>
        </w:rPr>
        <w:t>On additionalPmax-r18</w:t>
      </w:r>
    </w:p>
    <w:p w14:paraId="5407BFCF" w14:textId="6D7F3577" w:rsidR="002F557A" w:rsidRDefault="002F557A" w:rsidP="002F557A">
      <w:pPr>
        <w:rPr>
          <w:lang w:val="en-GB"/>
        </w:rPr>
      </w:pPr>
      <w:r>
        <w:rPr>
          <w:lang w:val="en-GB"/>
        </w:rPr>
        <w:t xml:space="preserve">Since RAN4 has not responded yet, RAN2 can keep the signalling in ASN.1 and make any changes to procedural texts </w:t>
      </w:r>
      <w:r w:rsidR="00DA4FD1">
        <w:rPr>
          <w:lang w:val="en-GB"/>
        </w:rPr>
        <w:t>once RAN4 replies.</w:t>
      </w:r>
    </w:p>
    <w:p w14:paraId="29549716" w14:textId="031D678B" w:rsidR="00DA4FD1" w:rsidRPr="0066280A" w:rsidRDefault="00DA4FD1" w:rsidP="00DA4FD1">
      <w:pPr>
        <w:pStyle w:val="Proposal"/>
        <w:numPr>
          <w:ilvl w:val="0"/>
          <w:numId w:val="5"/>
        </w:numPr>
      </w:pPr>
      <w:bookmarkStart w:id="3" w:name="_Toc159145667"/>
      <w:bookmarkStart w:id="4" w:name="_Toc159145720"/>
      <w:bookmarkStart w:id="5" w:name="_Toc159145736"/>
      <w:bookmarkStart w:id="6" w:name="_Toc159145781"/>
      <w:bookmarkStart w:id="7" w:name="_Toc159145843"/>
      <w:bookmarkStart w:id="8" w:name="_Toc159147314"/>
      <w:bookmarkStart w:id="9" w:name="_Toc159148361"/>
      <w:bookmarkStart w:id="10" w:name="_Toc159148472"/>
      <w:bookmarkStart w:id="11" w:name="_Toc159169322"/>
      <w:bookmarkStart w:id="12" w:name="_Toc159169334"/>
      <w:bookmarkStart w:id="13" w:name="_Toc159169358"/>
      <w:bookmarkStart w:id="14" w:name="_Toc159181173"/>
      <w:bookmarkStart w:id="15" w:name="_Toc159181183"/>
      <w:r w:rsidRPr="00DA4FD1">
        <w:t>On additionalPmax-r18</w:t>
      </w:r>
      <w:r>
        <w:t xml:space="preserve">: </w:t>
      </w:r>
      <w:r w:rsidRPr="00DA4FD1">
        <w:t>keep the signalling in ASN.1 and make any changes to procedural texts once RAN4 replies</w:t>
      </w:r>
      <w:r w:rsidRPr="0066280A">
        <w:t>.</w:t>
      </w:r>
      <w:bookmarkEnd w:id="3"/>
      <w:bookmarkEnd w:id="4"/>
      <w:bookmarkEnd w:id="5"/>
      <w:bookmarkEnd w:id="6"/>
      <w:bookmarkEnd w:id="7"/>
      <w:bookmarkEnd w:id="8"/>
      <w:bookmarkEnd w:id="9"/>
      <w:bookmarkEnd w:id="10"/>
      <w:bookmarkEnd w:id="11"/>
      <w:bookmarkEnd w:id="12"/>
      <w:bookmarkEnd w:id="13"/>
      <w:bookmarkEnd w:id="14"/>
      <w:bookmarkEnd w:id="15"/>
    </w:p>
    <w:p w14:paraId="754CC4F3" w14:textId="77777777" w:rsidR="00DA4FD1" w:rsidRDefault="00DA4FD1" w:rsidP="002F557A">
      <w:pPr>
        <w:rPr>
          <w:lang w:val="en-GB"/>
        </w:rPr>
      </w:pPr>
    </w:p>
    <w:p w14:paraId="0AAD70F8" w14:textId="0AAD1D7E" w:rsidR="006811F0" w:rsidRPr="008C3685" w:rsidRDefault="00512097" w:rsidP="002F557A">
      <w:pPr>
        <w:rPr>
          <w:b/>
          <w:bCs/>
          <w:lang w:val="en-GB"/>
        </w:rPr>
      </w:pPr>
      <w:r w:rsidRPr="008C3685">
        <w:rPr>
          <w:b/>
          <w:bCs/>
          <w:lang w:val="en-GB"/>
        </w:rPr>
        <w:t>On the Editor’s Note</w:t>
      </w:r>
      <w:r w:rsidR="006811F0" w:rsidRPr="008C3685">
        <w:rPr>
          <w:b/>
          <w:bCs/>
          <w:lang w:val="en-GB"/>
        </w:rPr>
        <w:t>s</w:t>
      </w:r>
      <w:r w:rsidRPr="008C3685">
        <w:rPr>
          <w:b/>
          <w:bCs/>
          <w:lang w:val="en-GB"/>
        </w:rPr>
        <w:t xml:space="preserve"> </w:t>
      </w:r>
      <w:r w:rsidR="006811F0" w:rsidRPr="008C3685">
        <w:rPr>
          <w:b/>
          <w:bCs/>
          <w:lang w:val="en-GB"/>
        </w:rPr>
        <w:t xml:space="preserve">in </w:t>
      </w:r>
      <w:r w:rsidR="008C3685" w:rsidRPr="008C3685">
        <w:rPr>
          <w:b/>
          <w:bCs/>
          <w:lang w:val="en-GB"/>
        </w:rPr>
        <w:t xml:space="preserve">NR Aerial </w:t>
      </w:r>
      <w:r w:rsidR="006811F0" w:rsidRPr="008C3685">
        <w:rPr>
          <w:b/>
          <w:bCs/>
          <w:lang w:val="en-GB"/>
        </w:rPr>
        <w:t>UE capabilities</w:t>
      </w:r>
    </w:p>
    <w:p w14:paraId="412123FF" w14:textId="10379C9C" w:rsidR="006811F0" w:rsidRPr="006811F0" w:rsidRDefault="006811F0" w:rsidP="009C3BA7">
      <w:pPr>
        <w:rPr>
          <w:rFonts w:ascii="Times New Roman" w:eastAsia="SimSun" w:hAnsi="Times New Roman" w:cs="Times New Roman"/>
          <w:kern w:val="0"/>
          <w:szCs w:val="18"/>
          <w14:ligatures w14:val="none"/>
        </w:rPr>
      </w:pPr>
      <w:r>
        <w:rPr>
          <w:lang w:val="en-GB"/>
        </w:rPr>
        <w:t>RAN2#124 captured the following agreements:</w:t>
      </w:r>
      <w:r w:rsidR="009C3BA7">
        <w:rPr>
          <w:lang w:val="en-GB"/>
        </w:rPr>
        <w:t xml:space="preserve"> </w:t>
      </w:r>
    </w:p>
    <w:p w14:paraId="2F6EC827" w14:textId="77777777" w:rsidR="006811F0" w:rsidRPr="006811F0" w:rsidRDefault="006811F0" w:rsidP="006811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6811F0">
        <w:rPr>
          <w:rFonts w:ascii="Arial" w:eastAsia="MS Mincho" w:hAnsi="Arial" w:cs="Times New Roman"/>
          <w:kern w:val="0"/>
          <w:sz w:val="20"/>
          <w:szCs w:val="24"/>
          <w:lang w:val="en-GB" w:eastAsia="en-GB"/>
          <w14:ligatures w14:val="none"/>
        </w:rPr>
        <w:t>- Define the following RAN2 capabilities (names to be discussed offline0:</w:t>
      </w:r>
    </w:p>
    <w:p w14:paraId="480143D4" w14:textId="77777777" w:rsidR="006811F0" w:rsidRPr="006811F0" w:rsidRDefault="006811F0" w:rsidP="006811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6811F0">
        <w:rPr>
          <w:rFonts w:ascii="Arial" w:eastAsia="MS Mincho" w:hAnsi="Arial" w:cs="Times New Roman"/>
          <w:kern w:val="0"/>
          <w:sz w:val="20"/>
          <w:szCs w:val="24"/>
          <w:lang w:val="en-GB" w:eastAsia="en-GB"/>
          <w14:ligatures w14:val="none"/>
        </w:rPr>
        <w:t>&lt;&lt;skip&gt;&gt;</w:t>
      </w:r>
    </w:p>
    <w:p w14:paraId="7393F6AD" w14:textId="77777777" w:rsidR="006811F0" w:rsidRPr="006811F0" w:rsidRDefault="006811F0" w:rsidP="006811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6811F0">
        <w:rPr>
          <w:rFonts w:ascii="Arial" w:eastAsia="MS Mincho" w:hAnsi="Arial" w:cs="Times New Roman"/>
          <w:kern w:val="0"/>
          <w:sz w:val="20"/>
          <w:szCs w:val="24"/>
          <w:lang w:val="en-GB" w:eastAsia="en-GB"/>
          <w14:ligatures w14:val="none"/>
        </w:rPr>
        <w:t xml:space="preserve">- Understanding is that a UE that doesn’t support any frequency band that requires </w:t>
      </w:r>
      <w:proofErr w:type="gramStart"/>
      <w:r w:rsidRPr="006811F0">
        <w:rPr>
          <w:rFonts w:ascii="Arial" w:eastAsia="MS Mincho" w:hAnsi="Arial" w:cs="Times New Roman"/>
          <w:kern w:val="0"/>
          <w:sz w:val="20"/>
          <w:szCs w:val="24"/>
          <w:lang w:val="en-GB" w:eastAsia="en-GB"/>
          <w14:ligatures w14:val="none"/>
        </w:rPr>
        <w:t>a</w:t>
      </w:r>
      <w:proofErr w:type="gramEnd"/>
      <w:r w:rsidRPr="006811F0">
        <w:rPr>
          <w:rFonts w:ascii="Arial" w:eastAsia="MS Mincho" w:hAnsi="Arial" w:cs="Times New Roman"/>
          <w:kern w:val="0"/>
          <w:sz w:val="20"/>
          <w:szCs w:val="24"/>
          <w:lang w:val="en-GB" w:eastAsia="en-GB"/>
          <w14:ligatures w14:val="none"/>
        </w:rPr>
        <w:t xml:space="preserve"> aerial specific NS value, doesn’t need to implement the procedure for NS value.  FFS whether a capability need is needed.  </w:t>
      </w:r>
    </w:p>
    <w:p w14:paraId="0E6B42D0" w14:textId="77777777" w:rsidR="006811F0" w:rsidRPr="006811F0" w:rsidRDefault="006811F0" w:rsidP="006811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6811F0">
        <w:rPr>
          <w:rFonts w:ascii="Arial" w:eastAsia="MS Mincho" w:hAnsi="Arial" w:cs="Times New Roman"/>
          <w:kern w:val="0"/>
          <w:sz w:val="20"/>
          <w:szCs w:val="24"/>
          <w:lang w:val="en-GB" w:eastAsia="en-GB"/>
          <w14:ligatures w14:val="none"/>
        </w:rPr>
        <w:t xml:space="preserve">- sl-A2X capability, with BRID, DAA, and both </w:t>
      </w:r>
      <w:proofErr w:type="gramStart"/>
      <w:r w:rsidRPr="006811F0">
        <w:rPr>
          <w:rFonts w:ascii="Arial" w:eastAsia="MS Mincho" w:hAnsi="Arial" w:cs="Times New Roman"/>
          <w:kern w:val="0"/>
          <w:sz w:val="20"/>
          <w:szCs w:val="24"/>
          <w:lang w:val="en-GB" w:eastAsia="en-GB"/>
          <w14:ligatures w14:val="none"/>
        </w:rPr>
        <w:t>granularity,  that</w:t>
      </w:r>
      <w:proofErr w:type="gramEnd"/>
      <w:r w:rsidRPr="006811F0">
        <w:rPr>
          <w:rFonts w:ascii="Arial" w:eastAsia="MS Mincho" w:hAnsi="Arial" w:cs="Times New Roman"/>
          <w:kern w:val="0"/>
          <w:sz w:val="20"/>
          <w:szCs w:val="24"/>
          <w:lang w:val="en-GB" w:eastAsia="en-GB"/>
          <w14:ligatures w14:val="none"/>
        </w:rPr>
        <w:t xml:space="preserve"> also means that it supports dedicated A2X pools.   FFS if it is per UE or FS (as working assumption for CR we implement per UE)                        </w:t>
      </w:r>
    </w:p>
    <w:p w14:paraId="7D4E5208" w14:textId="77777777" w:rsidR="006811F0" w:rsidRDefault="006811F0" w:rsidP="002F557A">
      <w:pPr>
        <w:rPr>
          <w:lang w:val="en-GB"/>
        </w:rPr>
      </w:pPr>
    </w:p>
    <w:p w14:paraId="2E9FC227" w14:textId="239D9C0B" w:rsidR="00C477EC" w:rsidRDefault="00C326B9" w:rsidP="002F557A">
      <w:pPr>
        <w:rPr>
          <w:rFonts w:ascii="Arial" w:eastAsia="MS Mincho" w:hAnsi="Arial" w:cs="Times New Roman"/>
          <w:kern w:val="0"/>
          <w:sz w:val="20"/>
          <w:szCs w:val="24"/>
          <w:lang w:val="en-GB" w:eastAsia="en-GB"/>
          <w14:ligatures w14:val="none"/>
        </w:rPr>
      </w:pPr>
      <w:r>
        <w:rPr>
          <w:lang w:val="en-GB"/>
        </w:rPr>
        <w:t>As seen above,</w:t>
      </w:r>
      <w:r w:rsidR="00512097">
        <w:rPr>
          <w:lang w:val="en-GB"/>
        </w:rPr>
        <w:t xml:space="preserve"> </w:t>
      </w:r>
      <w:r>
        <w:rPr>
          <w:lang w:val="en-GB"/>
        </w:rPr>
        <w:t xml:space="preserve">the need for </w:t>
      </w:r>
      <w:r w:rsidR="00512097">
        <w:rPr>
          <w:lang w:val="en-GB"/>
        </w:rPr>
        <w:t xml:space="preserve">UE capability </w:t>
      </w:r>
      <w:r w:rsidR="00512097" w:rsidRPr="00512097">
        <w:rPr>
          <w:lang w:val="en-GB"/>
        </w:rPr>
        <w:t>nr-NS-PmaxListAerial-r18</w:t>
      </w:r>
      <w:r>
        <w:rPr>
          <w:lang w:val="en-GB"/>
        </w:rPr>
        <w:t xml:space="preserve"> </w:t>
      </w:r>
      <w:r w:rsidR="00BC7654">
        <w:rPr>
          <w:lang w:val="en-GB"/>
        </w:rPr>
        <w:t>was previously discussed and was not concluded</w:t>
      </w:r>
      <w:r w:rsidR="009C3BA7">
        <w:rPr>
          <w:lang w:val="en-GB"/>
        </w:rPr>
        <w:t>;</w:t>
      </w:r>
      <w:r w:rsidR="00BC7654">
        <w:rPr>
          <w:lang w:val="en-GB"/>
        </w:rPr>
        <w:t xml:space="preserve"> </w:t>
      </w:r>
      <w:r w:rsidR="009C3BA7">
        <w:rPr>
          <w:lang w:val="en-GB"/>
        </w:rPr>
        <w:t>h</w:t>
      </w:r>
      <w:r>
        <w:rPr>
          <w:lang w:val="en-GB"/>
        </w:rPr>
        <w:t xml:space="preserve">owever, RAN2 had a common understanding that </w:t>
      </w:r>
      <w:r w:rsidRPr="006811F0">
        <w:rPr>
          <w:rFonts w:ascii="Arial" w:eastAsia="MS Mincho" w:hAnsi="Arial" w:cs="Times New Roman"/>
          <w:kern w:val="0"/>
          <w:sz w:val="20"/>
          <w:szCs w:val="24"/>
          <w:lang w:val="en-GB" w:eastAsia="en-GB"/>
          <w14:ligatures w14:val="none"/>
        </w:rPr>
        <w:t xml:space="preserve">a UE that doesn’t support any frequency band that requires </w:t>
      </w:r>
      <w:proofErr w:type="gramStart"/>
      <w:r w:rsidRPr="006811F0">
        <w:rPr>
          <w:rFonts w:ascii="Arial" w:eastAsia="MS Mincho" w:hAnsi="Arial" w:cs="Times New Roman"/>
          <w:kern w:val="0"/>
          <w:sz w:val="20"/>
          <w:szCs w:val="24"/>
          <w:lang w:val="en-GB" w:eastAsia="en-GB"/>
          <w14:ligatures w14:val="none"/>
        </w:rPr>
        <w:t>a</w:t>
      </w:r>
      <w:proofErr w:type="gramEnd"/>
      <w:r w:rsidRPr="006811F0">
        <w:rPr>
          <w:rFonts w:ascii="Arial" w:eastAsia="MS Mincho" w:hAnsi="Arial" w:cs="Times New Roman"/>
          <w:kern w:val="0"/>
          <w:sz w:val="20"/>
          <w:szCs w:val="24"/>
          <w:lang w:val="en-GB" w:eastAsia="en-GB"/>
          <w14:ligatures w14:val="none"/>
        </w:rPr>
        <w:t xml:space="preserve"> aerial specific NS value, doesn’t need to implement the procedure for NS value</w:t>
      </w:r>
      <w:r>
        <w:rPr>
          <w:rFonts w:ascii="Arial" w:eastAsia="MS Mincho" w:hAnsi="Arial" w:cs="Times New Roman"/>
          <w:kern w:val="0"/>
          <w:sz w:val="20"/>
          <w:szCs w:val="24"/>
          <w:lang w:val="en-GB" w:eastAsia="en-GB"/>
          <w14:ligatures w14:val="none"/>
        </w:rPr>
        <w:t xml:space="preserve">. </w:t>
      </w:r>
      <w:r w:rsidR="00C477EC">
        <w:rPr>
          <w:rFonts w:ascii="Arial" w:eastAsia="MS Mincho" w:hAnsi="Arial" w:cs="Times New Roman"/>
          <w:kern w:val="0"/>
          <w:sz w:val="20"/>
          <w:szCs w:val="24"/>
          <w:lang w:val="en-GB" w:eastAsia="en-GB"/>
          <w14:ligatures w14:val="none"/>
        </w:rPr>
        <w:t xml:space="preserve">Moreover, for LTE, it </w:t>
      </w:r>
      <w:r w:rsidR="00E70524">
        <w:rPr>
          <w:rFonts w:ascii="Arial" w:eastAsia="MS Mincho" w:hAnsi="Arial" w:cs="Times New Roman"/>
          <w:kern w:val="0"/>
          <w:sz w:val="20"/>
          <w:szCs w:val="24"/>
          <w:lang w:val="en-GB" w:eastAsia="en-GB"/>
          <w14:ligatures w14:val="none"/>
        </w:rPr>
        <w:t>would be</w:t>
      </w:r>
      <w:r w:rsidR="00C477EC">
        <w:rPr>
          <w:rFonts w:ascii="Arial" w:eastAsia="MS Mincho" w:hAnsi="Arial" w:cs="Times New Roman"/>
          <w:kern w:val="0"/>
          <w:sz w:val="20"/>
          <w:szCs w:val="24"/>
          <w:lang w:val="en-GB" w:eastAsia="en-GB"/>
          <w14:ligatures w14:val="none"/>
        </w:rPr>
        <w:t xml:space="preserve"> </w:t>
      </w:r>
      <w:proofErr w:type="gramStart"/>
      <w:r w:rsidR="00C477EC">
        <w:rPr>
          <w:rFonts w:ascii="Arial" w:eastAsia="MS Mincho" w:hAnsi="Arial" w:cs="Times New Roman"/>
          <w:kern w:val="0"/>
          <w:sz w:val="20"/>
          <w:szCs w:val="24"/>
          <w:lang w:val="en-GB" w:eastAsia="en-GB"/>
          <w14:ligatures w14:val="none"/>
        </w:rPr>
        <w:t>similar to</w:t>
      </w:r>
      <w:proofErr w:type="gramEnd"/>
      <w:r w:rsidR="00C477EC">
        <w:rPr>
          <w:rFonts w:ascii="Arial" w:eastAsia="MS Mincho" w:hAnsi="Arial" w:cs="Times New Roman"/>
          <w:kern w:val="0"/>
          <w:sz w:val="20"/>
          <w:szCs w:val="24"/>
          <w:lang w:val="en-GB" w:eastAsia="en-GB"/>
          <w14:ligatures w14:val="none"/>
        </w:rPr>
        <w:t xml:space="preserve"> the following existing UE capability</w:t>
      </w:r>
      <w:r w:rsidR="00A83AA6">
        <w:rPr>
          <w:rFonts w:ascii="Arial" w:eastAsia="MS Mincho" w:hAnsi="Arial" w:cs="Times New Roman"/>
          <w:kern w:val="0"/>
          <w:sz w:val="20"/>
          <w:szCs w:val="24"/>
          <w:lang w:val="en-GB" w:eastAsia="en-GB"/>
          <w14:ligatures w14:val="none"/>
        </w:rPr>
        <w: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A83AA6" w:rsidRPr="00A83AA6" w14:paraId="060CC428" w14:textId="77777777" w:rsidTr="00F56E4A">
        <w:trPr>
          <w:cantSplit/>
        </w:trPr>
        <w:tc>
          <w:tcPr>
            <w:tcW w:w="7825" w:type="dxa"/>
          </w:tcPr>
          <w:p w14:paraId="3B94B6A3" w14:textId="77777777" w:rsidR="00A83AA6" w:rsidRPr="00A83AA6" w:rsidRDefault="00A83AA6" w:rsidP="00A83AA6">
            <w:pPr>
              <w:keepNext/>
              <w:keepLines/>
              <w:spacing w:after="0" w:line="240" w:lineRule="auto"/>
              <w:rPr>
                <w:rFonts w:ascii="Arial" w:eastAsia="Times New Roman" w:hAnsi="Arial" w:cs="Times New Roman"/>
                <w:b/>
                <w:i/>
                <w:kern w:val="0"/>
                <w:sz w:val="18"/>
                <w:szCs w:val="20"/>
                <w:lang w:val="en-GB"/>
                <w14:ligatures w14:val="none"/>
              </w:rPr>
            </w:pPr>
            <w:r w:rsidRPr="00A83AA6">
              <w:rPr>
                <w:rFonts w:ascii="Arial" w:eastAsia="Times New Roman" w:hAnsi="Arial" w:cs="Times New Roman"/>
                <w:b/>
                <w:i/>
                <w:kern w:val="0"/>
                <w:sz w:val="18"/>
                <w:szCs w:val="20"/>
                <w:lang w:val="en-GB"/>
                <w14:ligatures w14:val="none"/>
              </w:rPr>
              <w:t>multiNS-Pmax</w:t>
            </w:r>
          </w:p>
          <w:p w14:paraId="532F6C65" w14:textId="77777777" w:rsidR="00A83AA6" w:rsidRPr="00A83AA6" w:rsidRDefault="00A83AA6" w:rsidP="00A83AA6">
            <w:pPr>
              <w:keepNext/>
              <w:keepLines/>
              <w:spacing w:after="0" w:line="240" w:lineRule="auto"/>
              <w:rPr>
                <w:rFonts w:ascii="Arial" w:eastAsia="Times New Roman" w:hAnsi="Arial" w:cs="Times New Roman"/>
                <w:b/>
                <w:bCs/>
                <w:i/>
                <w:noProof/>
                <w:kern w:val="0"/>
                <w:sz w:val="18"/>
                <w:szCs w:val="20"/>
                <w:lang w:val="en-GB" w:eastAsia="en-GB"/>
                <w14:ligatures w14:val="none"/>
              </w:rPr>
            </w:pPr>
            <w:r w:rsidRPr="00A83AA6">
              <w:rPr>
                <w:rFonts w:ascii="Arial" w:eastAsia="Times New Roman" w:hAnsi="Arial" w:cs="Times New Roman"/>
                <w:kern w:val="0"/>
                <w:sz w:val="18"/>
                <w:szCs w:val="20"/>
                <w:lang w:val="en-GB" w:eastAsia="en-GB"/>
                <w14:ligatures w14:val="none"/>
              </w:rPr>
              <w:t xml:space="preserve">Indicates whether the UE supports the mechanisms defined for cells broadcasting </w:t>
            </w:r>
            <w:r w:rsidRPr="00A83AA6">
              <w:rPr>
                <w:rFonts w:ascii="Arial" w:eastAsia="Times New Roman" w:hAnsi="Arial" w:cs="Times New Roman"/>
                <w:i/>
                <w:kern w:val="0"/>
                <w:sz w:val="18"/>
                <w:szCs w:val="20"/>
                <w:lang w:val="en-GB" w:eastAsia="en-GB"/>
                <w14:ligatures w14:val="none"/>
              </w:rPr>
              <w:t>NS-PmaxList</w:t>
            </w:r>
            <w:r w:rsidRPr="00A83AA6">
              <w:rPr>
                <w:rFonts w:ascii="Arial" w:eastAsia="Times New Roman" w:hAnsi="Arial" w:cs="Times New Roman"/>
                <w:kern w:val="0"/>
                <w:sz w:val="18"/>
                <w:szCs w:val="20"/>
                <w:lang w:val="en-GB" w:eastAsia="en-GB"/>
                <w14:ligatures w14:val="none"/>
              </w:rPr>
              <w:t>.</w:t>
            </w:r>
          </w:p>
        </w:tc>
        <w:tc>
          <w:tcPr>
            <w:tcW w:w="830" w:type="dxa"/>
          </w:tcPr>
          <w:p w14:paraId="5D5E4F15" w14:textId="77777777" w:rsidR="00A83AA6" w:rsidRPr="00A83AA6" w:rsidRDefault="00A83AA6" w:rsidP="00A83AA6">
            <w:pPr>
              <w:keepNext/>
              <w:keepLines/>
              <w:spacing w:after="0" w:line="240" w:lineRule="auto"/>
              <w:jc w:val="center"/>
              <w:rPr>
                <w:rFonts w:ascii="Arial" w:eastAsia="Times New Roman" w:hAnsi="Arial" w:cs="Times New Roman"/>
                <w:bCs/>
                <w:noProof/>
                <w:kern w:val="0"/>
                <w:sz w:val="18"/>
                <w:szCs w:val="20"/>
                <w:lang w:val="en-GB" w:eastAsia="zh-CN"/>
                <w14:ligatures w14:val="none"/>
              </w:rPr>
            </w:pPr>
            <w:r w:rsidRPr="00A83AA6">
              <w:rPr>
                <w:rFonts w:ascii="Arial" w:eastAsia="Times New Roman" w:hAnsi="Arial" w:cs="Times New Roman"/>
                <w:bCs/>
                <w:noProof/>
                <w:kern w:val="0"/>
                <w:sz w:val="18"/>
                <w:szCs w:val="20"/>
                <w:lang w:val="en-GB" w:eastAsia="zh-CN"/>
                <w14:ligatures w14:val="none"/>
              </w:rPr>
              <w:t>-</w:t>
            </w:r>
          </w:p>
        </w:tc>
      </w:tr>
    </w:tbl>
    <w:p w14:paraId="7E77EDBD" w14:textId="77777777" w:rsidR="00C477EC" w:rsidRDefault="00C477EC" w:rsidP="002F557A">
      <w:pPr>
        <w:rPr>
          <w:rFonts w:ascii="Arial" w:eastAsia="MS Mincho" w:hAnsi="Arial" w:cs="Times New Roman"/>
          <w:kern w:val="0"/>
          <w:sz w:val="20"/>
          <w:szCs w:val="24"/>
          <w:lang w:val="en-GB" w:eastAsia="en-GB"/>
          <w14:ligatures w14:val="none"/>
        </w:rPr>
      </w:pPr>
    </w:p>
    <w:p w14:paraId="45C3085D" w14:textId="2A645B83" w:rsidR="00512097" w:rsidRPr="002F557A" w:rsidRDefault="009C3BA7" w:rsidP="002F557A">
      <w:pPr>
        <w:rPr>
          <w:lang w:val="en-GB"/>
        </w:rPr>
      </w:pPr>
      <w:r>
        <w:rPr>
          <w:rFonts w:ascii="Arial" w:eastAsia="MS Mincho" w:hAnsi="Arial" w:cs="Times New Roman"/>
          <w:kern w:val="0"/>
          <w:sz w:val="20"/>
          <w:szCs w:val="24"/>
          <w:lang w:val="en-GB" w:eastAsia="en-GB"/>
          <w14:ligatures w14:val="none"/>
        </w:rPr>
        <w:t>S</w:t>
      </w:r>
      <w:r w:rsidRPr="009C3BA7">
        <w:rPr>
          <w:rFonts w:ascii="Arial" w:eastAsia="MS Mincho" w:hAnsi="Arial" w:cs="Times New Roman"/>
          <w:kern w:val="0"/>
          <w:sz w:val="20"/>
          <w:szCs w:val="24"/>
          <w:lang w:val="en-GB" w:eastAsia="en-GB"/>
          <w14:ligatures w14:val="none"/>
        </w:rPr>
        <w:t xml:space="preserve">o, this was captured as placeholder. </w:t>
      </w:r>
      <w:r w:rsidR="00F43529">
        <w:rPr>
          <w:rFonts w:ascii="Arial" w:eastAsia="MS Mincho" w:hAnsi="Arial" w:cs="Times New Roman"/>
          <w:kern w:val="0"/>
          <w:sz w:val="20"/>
          <w:szCs w:val="24"/>
          <w:lang w:val="en-GB" w:eastAsia="en-GB"/>
          <w14:ligatures w14:val="none"/>
        </w:rPr>
        <w:t xml:space="preserve">More description on why such capability is useful is described in company contribution R2-2400825. </w:t>
      </w:r>
      <w:r w:rsidR="00B73D84">
        <w:rPr>
          <w:rFonts w:ascii="Arial" w:eastAsia="MS Mincho" w:hAnsi="Arial" w:cs="Times New Roman"/>
          <w:kern w:val="0"/>
          <w:sz w:val="20"/>
          <w:szCs w:val="24"/>
          <w:lang w:val="en-GB" w:eastAsia="en-GB"/>
          <w14:ligatures w14:val="none"/>
        </w:rPr>
        <w:t>Rapporteur proposal is to capture it as per-UE</w:t>
      </w:r>
      <w:r w:rsidR="00837E15">
        <w:rPr>
          <w:rFonts w:ascii="Arial" w:eastAsia="MS Mincho" w:hAnsi="Arial" w:cs="Times New Roman"/>
          <w:kern w:val="0"/>
          <w:sz w:val="20"/>
          <w:szCs w:val="24"/>
          <w:lang w:val="en-GB" w:eastAsia="en-GB"/>
          <w14:ligatures w14:val="none"/>
        </w:rPr>
        <w:t xml:space="preserve"> optional</w:t>
      </w:r>
      <w:r w:rsidR="00B73D84">
        <w:rPr>
          <w:rFonts w:ascii="Arial" w:eastAsia="MS Mincho" w:hAnsi="Arial" w:cs="Times New Roman"/>
          <w:kern w:val="0"/>
          <w:sz w:val="20"/>
          <w:szCs w:val="24"/>
          <w:lang w:val="en-GB" w:eastAsia="en-GB"/>
          <w14:ligatures w14:val="none"/>
        </w:rPr>
        <w:t xml:space="preserve"> </w:t>
      </w:r>
      <w:r w:rsidR="00AF4C02">
        <w:rPr>
          <w:rFonts w:ascii="Arial" w:eastAsia="MS Mincho" w:hAnsi="Arial" w:cs="Times New Roman"/>
          <w:kern w:val="0"/>
          <w:sz w:val="20"/>
          <w:szCs w:val="24"/>
          <w:lang w:val="en-GB" w:eastAsia="en-GB"/>
          <w14:ligatures w14:val="none"/>
        </w:rPr>
        <w:t>capability (both LTE and NR)</w:t>
      </w:r>
      <w:r w:rsidR="00837E15">
        <w:rPr>
          <w:rFonts w:ascii="Arial" w:eastAsia="MS Mincho" w:hAnsi="Arial" w:cs="Times New Roman"/>
          <w:kern w:val="0"/>
          <w:sz w:val="20"/>
          <w:szCs w:val="24"/>
          <w:lang w:val="en-GB" w:eastAsia="en-GB"/>
          <w14:ligatures w14:val="none"/>
        </w:rPr>
        <w:t xml:space="preserve"> with No FDD/TDD and No FR1/FR2 diff.</w:t>
      </w:r>
    </w:p>
    <w:p w14:paraId="4012A4EE" w14:textId="77777777" w:rsidR="00716B4D" w:rsidRPr="0011396C" w:rsidRDefault="00716B4D" w:rsidP="00716B4D">
      <w:pPr>
        <w:pStyle w:val="Proposal"/>
        <w:numPr>
          <w:ilvl w:val="0"/>
          <w:numId w:val="5"/>
        </w:numPr>
        <w:spacing w:line="276" w:lineRule="auto"/>
      </w:pPr>
      <w:bookmarkStart w:id="16" w:name="_Toc146789746"/>
      <w:bookmarkStart w:id="17" w:name="_Toc146792564"/>
      <w:bookmarkStart w:id="18" w:name="_Toc146792989"/>
      <w:bookmarkStart w:id="19" w:name="_Toc146802861"/>
      <w:bookmarkStart w:id="20" w:name="_Toc146819617"/>
      <w:bookmarkStart w:id="21" w:name="_Toc149835230"/>
      <w:bookmarkStart w:id="22" w:name="_Toc149852535"/>
      <w:bookmarkStart w:id="23" w:name="_Toc159007776"/>
      <w:bookmarkStart w:id="24" w:name="_Toc159008166"/>
      <w:bookmarkStart w:id="25" w:name="_Toc159008400"/>
      <w:bookmarkStart w:id="26" w:name="_Toc159008431"/>
      <w:bookmarkStart w:id="27" w:name="_Toc159147315"/>
      <w:bookmarkStart w:id="28" w:name="_Toc159148362"/>
      <w:bookmarkStart w:id="29" w:name="_Toc159148473"/>
      <w:bookmarkStart w:id="30" w:name="_Toc159169323"/>
      <w:bookmarkStart w:id="31" w:name="_Toc159169335"/>
      <w:bookmarkStart w:id="32" w:name="_Toc159169359"/>
      <w:bookmarkStart w:id="33" w:name="_Toc159145668"/>
      <w:bookmarkStart w:id="34" w:name="_Toc159145721"/>
      <w:bookmarkStart w:id="35" w:name="_Toc159145737"/>
      <w:bookmarkStart w:id="36" w:name="_Toc159145782"/>
      <w:bookmarkStart w:id="37" w:name="_Toc159145844"/>
      <w:bookmarkStart w:id="38" w:name="_Toc159181174"/>
      <w:bookmarkStart w:id="39" w:name="_Toc159181184"/>
      <w:r w:rsidRPr="0011396C">
        <w:t>For both NR</w:t>
      </w:r>
      <w:r>
        <w:t xml:space="preserve"> and LTE</w:t>
      </w:r>
      <w:r w:rsidRPr="0011396C">
        <w:t xml:space="preserve">: Introduce optional UE capability to indicate support of the mechanisms defined for cells broadcasting </w:t>
      </w:r>
      <w:r>
        <w:t>aerial-</w:t>
      </w:r>
      <w:r w:rsidRPr="0011396C">
        <w:t>specific emission list.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r w:rsidRPr="0011396C">
        <w:t xml:space="preserve"> </w:t>
      </w:r>
    </w:p>
    <w:p w14:paraId="7ADF1F4E" w14:textId="420E4E5D" w:rsidR="00F32FE4" w:rsidRDefault="002437A7" w:rsidP="0066280A">
      <w:pPr>
        <w:pStyle w:val="Proposal"/>
        <w:numPr>
          <w:ilvl w:val="0"/>
          <w:numId w:val="5"/>
        </w:numPr>
      </w:pPr>
      <w:bookmarkStart w:id="40" w:name="_Toc159147316"/>
      <w:bookmarkStart w:id="41" w:name="_Toc159148363"/>
      <w:bookmarkStart w:id="42" w:name="_Toc159148474"/>
      <w:bookmarkStart w:id="43" w:name="_Toc159169324"/>
      <w:bookmarkStart w:id="44" w:name="_Toc159169336"/>
      <w:bookmarkStart w:id="45" w:name="_Toc159169360"/>
      <w:bookmarkStart w:id="46" w:name="_Toc159181175"/>
      <w:bookmarkStart w:id="47" w:name="_Toc159181185"/>
      <w:r>
        <w:t xml:space="preserve">For </w:t>
      </w:r>
      <w:r w:rsidR="00F32FE4" w:rsidRPr="00F32FE4">
        <w:t>nr-NS-PmaxListAerial-r18</w:t>
      </w:r>
      <w:r w:rsidR="00F32FE4">
        <w:t xml:space="preserve">, keep it as </w:t>
      </w:r>
      <w:r w:rsidR="00F32FE4" w:rsidRPr="00F32FE4">
        <w:t>per-UE optional capability (both LTE and NR) with No FDD/TDD</w:t>
      </w:r>
      <w:r w:rsidR="00C25724">
        <w:t xml:space="preserve"> diff</w:t>
      </w:r>
      <w:r w:rsidR="00F32FE4" w:rsidRPr="00F32FE4">
        <w:t xml:space="preserve"> and No FR1/FR2 diff</w:t>
      </w:r>
      <w:r w:rsidR="00F32FE4">
        <w:t>. Remove Editor’s Note.</w:t>
      </w:r>
      <w:r w:rsidR="00862E3D">
        <w:t xml:space="preserve"> </w:t>
      </w:r>
      <w:r w:rsidR="00F32FE4">
        <w:t>Also capture description in TS 38.306.</w:t>
      </w:r>
      <w:bookmarkEnd w:id="40"/>
      <w:bookmarkEnd w:id="41"/>
      <w:bookmarkEnd w:id="42"/>
      <w:bookmarkEnd w:id="43"/>
      <w:bookmarkEnd w:id="44"/>
      <w:bookmarkEnd w:id="45"/>
      <w:bookmarkEnd w:id="46"/>
      <w:bookmarkEnd w:id="47"/>
    </w:p>
    <w:p w14:paraId="6CCA1313" w14:textId="77777777" w:rsidR="00C36C9B" w:rsidRPr="00FE593E" w:rsidRDefault="00C36C9B" w:rsidP="00FE593E">
      <w:pPr>
        <w:rPr>
          <w:rFonts w:ascii="Arial" w:eastAsia="MS Mincho" w:hAnsi="Arial" w:cs="Times New Roman"/>
          <w:kern w:val="0"/>
          <w:sz w:val="20"/>
          <w:szCs w:val="24"/>
          <w:lang w:val="en-GB" w:eastAsia="en-GB"/>
          <w14:ligatures w14:val="none"/>
        </w:rPr>
      </w:pPr>
    </w:p>
    <w:p w14:paraId="0809F23E" w14:textId="04D2D4A4" w:rsidR="00E67DF8" w:rsidRPr="00FE593E" w:rsidRDefault="00716B4D" w:rsidP="00FE593E">
      <w:pPr>
        <w:rPr>
          <w:rFonts w:ascii="Arial" w:eastAsia="MS Mincho" w:hAnsi="Arial" w:cs="Times New Roman"/>
          <w:kern w:val="0"/>
          <w:sz w:val="20"/>
          <w:szCs w:val="24"/>
          <w:lang w:val="en-GB" w:eastAsia="en-GB"/>
          <w14:ligatures w14:val="none"/>
        </w:rPr>
      </w:pPr>
      <w:bookmarkStart w:id="48" w:name="_Toc159169325"/>
      <w:bookmarkStart w:id="49" w:name="_Toc159169337"/>
      <w:bookmarkStart w:id="50" w:name="_Toc159147317"/>
      <w:bookmarkStart w:id="51" w:name="_Toc159148364"/>
      <w:bookmarkStart w:id="52" w:name="_Toc159148475"/>
      <w:r w:rsidRPr="00FE593E">
        <w:rPr>
          <w:rFonts w:ascii="Arial" w:eastAsia="MS Mincho" w:hAnsi="Arial" w:cs="Times New Roman"/>
          <w:kern w:val="0"/>
          <w:sz w:val="20"/>
          <w:szCs w:val="24"/>
          <w:lang w:val="en-GB" w:eastAsia="en-GB"/>
          <w14:ligatures w14:val="none"/>
        </w:rPr>
        <w:t xml:space="preserve">Regarding </w:t>
      </w:r>
      <w:r w:rsidR="00012791" w:rsidRPr="00FE593E">
        <w:rPr>
          <w:rFonts w:ascii="Arial" w:eastAsia="MS Mincho" w:hAnsi="Arial" w:cs="Times New Roman"/>
          <w:kern w:val="0"/>
          <w:sz w:val="20"/>
          <w:szCs w:val="24"/>
          <w:lang w:val="en-GB" w:eastAsia="en-GB"/>
          <w14:ligatures w14:val="none"/>
        </w:rPr>
        <w:t xml:space="preserve">FFS on the granularity of </w:t>
      </w:r>
      <w:r w:rsidR="00C36C9B" w:rsidRPr="00FE593E">
        <w:rPr>
          <w:rFonts w:ascii="Arial" w:eastAsia="MS Mincho" w:hAnsi="Arial" w:cs="Times New Roman"/>
          <w:kern w:val="0"/>
          <w:sz w:val="20"/>
          <w:szCs w:val="24"/>
          <w:lang w:val="en-GB" w:eastAsia="en-GB"/>
          <w14:ligatures w14:val="none"/>
        </w:rPr>
        <w:t>sl-A2X capability</w:t>
      </w:r>
      <w:r w:rsidR="00012791" w:rsidRPr="00FE593E">
        <w:rPr>
          <w:rFonts w:ascii="Arial" w:eastAsia="MS Mincho" w:hAnsi="Arial" w:cs="Times New Roman"/>
          <w:kern w:val="0"/>
          <w:sz w:val="20"/>
          <w:szCs w:val="24"/>
          <w:lang w:val="en-GB" w:eastAsia="en-GB"/>
          <w14:ligatures w14:val="none"/>
        </w:rPr>
        <w:t xml:space="preserve">, </w:t>
      </w:r>
      <w:r w:rsidR="000A11EE" w:rsidRPr="00FE593E">
        <w:rPr>
          <w:rFonts w:ascii="Arial" w:eastAsia="MS Mincho" w:hAnsi="Arial" w:cs="Times New Roman"/>
          <w:kern w:val="0"/>
          <w:sz w:val="20"/>
          <w:szCs w:val="24"/>
          <w:lang w:val="en-GB" w:eastAsia="en-GB"/>
          <w14:ligatures w14:val="none"/>
        </w:rPr>
        <w:t xml:space="preserve">it should be noted that the </w:t>
      </w:r>
      <w:r w:rsidR="00A6371C" w:rsidRPr="00FE593E">
        <w:rPr>
          <w:rFonts w:ascii="Arial" w:eastAsia="MS Mincho" w:hAnsi="Arial" w:cs="Times New Roman"/>
          <w:kern w:val="0"/>
          <w:sz w:val="20"/>
          <w:szCs w:val="24"/>
          <w:lang w:val="en-GB" w:eastAsia="en-GB"/>
          <w14:ligatures w14:val="none"/>
        </w:rPr>
        <w:t xml:space="preserve">NR UE indicates support of </w:t>
      </w:r>
      <w:r w:rsidR="00CF2BFD" w:rsidRPr="00FE593E">
        <w:rPr>
          <w:rFonts w:ascii="Arial" w:eastAsia="MS Mincho" w:hAnsi="Arial" w:cs="Times New Roman"/>
          <w:kern w:val="0"/>
          <w:sz w:val="20"/>
          <w:szCs w:val="24"/>
          <w:lang w:val="en-GB" w:eastAsia="en-GB"/>
          <w14:ligatures w14:val="none"/>
        </w:rPr>
        <w:t>SL Rx</w:t>
      </w:r>
      <w:r w:rsidR="00F97459" w:rsidRPr="00FE593E">
        <w:rPr>
          <w:rFonts w:ascii="Arial" w:eastAsia="MS Mincho" w:hAnsi="Arial" w:cs="Times New Roman"/>
          <w:kern w:val="0"/>
          <w:sz w:val="20"/>
          <w:szCs w:val="24"/>
          <w:lang w:val="en-GB" w:eastAsia="en-GB"/>
          <w14:ligatures w14:val="none"/>
        </w:rPr>
        <w:t>, SL Tx in mode 1</w:t>
      </w:r>
      <w:r w:rsidR="00CF2BFD" w:rsidRPr="00FE593E">
        <w:rPr>
          <w:rFonts w:ascii="Arial" w:eastAsia="MS Mincho" w:hAnsi="Arial" w:cs="Times New Roman"/>
          <w:kern w:val="0"/>
          <w:sz w:val="20"/>
          <w:szCs w:val="24"/>
          <w:lang w:val="en-GB" w:eastAsia="en-GB"/>
          <w14:ligatures w14:val="none"/>
        </w:rPr>
        <w:t xml:space="preserve"> and SL </w:t>
      </w:r>
      <w:r w:rsidR="00A6371C" w:rsidRPr="00FE593E">
        <w:rPr>
          <w:rFonts w:ascii="Arial" w:eastAsia="MS Mincho" w:hAnsi="Arial" w:cs="Times New Roman"/>
          <w:kern w:val="0"/>
          <w:sz w:val="20"/>
          <w:szCs w:val="24"/>
          <w:lang w:val="en-GB" w:eastAsia="en-GB"/>
          <w14:ligatures w14:val="none"/>
        </w:rPr>
        <w:t xml:space="preserve">Tx in mode 2 </w:t>
      </w:r>
      <w:r w:rsidR="00CF2BFD" w:rsidRPr="00FE593E">
        <w:rPr>
          <w:rFonts w:ascii="Arial" w:eastAsia="MS Mincho" w:hAnsi="Arial" w:cs="Times New Roman"/>
          <w:kern w:val="0"/>
          <w:sz w:val="20"/>
          <w:szCs w:val="24"/>
          <w:lang w:val="en-GB" w:eastAsia="en-GB"/>
          <w14:ligatures w14:val="none"/>
        </w:rPr>
        <w:t>on</w:t>
      </w:r>
      <w:r w:rsidR="00A6371C" w:rsidRPr="00FE593E">
        <w:rPr>
          <w:rFonts w:ascii="Arial" w:eastAsia="MS Mincho" w:hAnsi="Arial" w:cs="Times New Roman"/>
          <w:kern w:val="0"/>
          <w:sz w:val="20"/>
          <w:szCs w:val="24"/>
          <w:lang w:val="en-GB" w:eastAsia="en-GB"/>
          <w14:ligatures w14:val="none"/>
        </w:rPr>
        <w:t xml:space="preserve"> </w:t>
      </w:r>
      <w:r w:rsidR="00CF2BFD" w:rsidRPr="00FE593E">
        <w:rPr>
          <w:rFonts w:ascii="Arial" w:eastAsia="MS Mincho" w:hAnsi="Arial" w:cs="Times New Roman"/>
          <w:kern w:val="0"/>
          <w:sz w:val="20"/>
          <w:szCs w:val="24"/>
          <w:lang w:val="en-GB" w:eastAsia="en-GB"/>
          <w14:ligatures w14:val="none"/>
        </w:rPr>
        <w:t>per Band basis</w:t>
      </w:r>
      <w:r w:rsidR="00C36C9B" w:rsidRPr="00FE593E">
        <w:rPr>
          <w:rFonts w:ascii="Arial" w:eastAsia="MS Mincho" w:hAnsi="Arial" w:cs="Times New Roman"/>
          <w:kern w:val="0"/>
          <w:sz w:val="20"/>
          <w:szCs w:val="24"/>
          <w:lang w:val="en-GB" w:eastAsia="en-GB"/>
          <w14:ligatures w14:val="none"/>
        </w:rPr>
        <w:t>.</w:t>
      </w:r>
      <w:bookmarkEnd w:id="48"/>
      <w:bookmarkEnd w:id="49"/>
      <w:r w:rsidR="00C36C9B" w:rsidRPr="00FE593E">
        <w:rPr>
          <w:rFonts w:ascii="Arial" w:eastAsia="MS Mincho" w:hAnsi="Arial" w:cs="Times New Roman"/>
          <w:kern w:val="0"/>
          <w:sz w:val="20"/>
          <w:szCs w:val="24"/>
          <w:lang w:val="en-GB" w:eastAsia="en-GB"/>
          <w14:ligatures w14:val="none"/>
        </w:rPr>
        <w:t xml:space="preserve"> </w:t>
      </w:r>
    </w:p>
    <w:p w14:paraId="41F940AF" w14:textId="545FB601" w:rsidR="00716B4D" w:rsidRPr="00FE593E" w:rsidRDefault="005F56E2" w:rsidP="00FE593E">
      <w:pPr>
        <w:rPr>
          <w:rFonts w:ascii="Arial" w:eastAsia="MS Mincho" w:hAnsi="Arial" w:cs="Times New Roman"/>
          <w:kern w:val="0"/>
          <w:sz w:val="20"/>
          <w:szCs w:val="24"/>
          <w:lang w:val="en-GB" w:eastAsia="en-GB"/>
          <w14:ligatures w14:val="none"/>
        </w:rPr>
      </w:pPr>
      <w:bookmarkStart w:id="53" w:name="_Toc159169326"/>
      <w:bookmarkStart w:id="54" w:name="_Toc159169338"/>
      <w:r w:rsidRPr="00FE593E">
        <w:rPr>
          <w:rFonts w:ascii="Arial" w:eastAsia="MS Mincho" w:hAnsi="Arial" w:cs="Times New Roman"/>
          <w:kern w:val="0"/>
          <w:sz w:val="20"/>
          <w:szCs w:val="24"/>
          <w:lang w:val="en-GB" w:eastAsia="en-GB"/>
          <w14:ligatures w14:val="none"/>
        </w:rPr>
        <w:t xml:space="preserve">If we add a single per-UE capability for SL A2X support, that </w:t>
      </w:r>
      <w:proofErr w:type="gramStart"/>
      <w:r w:rsidRPr="00FE593E">
        <w:rPr>
          <w:rFonts w:ascii="Arial" w:eastAsia="MS Mincho" w:hAnsi="Arial" w:cs="Times New Roman"/>
          <w:kern w:val="0"/>
          <w:sz w:val="20"/>
          <w:szCs w:val="24"/>
          <w:lang w:val="en-GB" w:eastAsia="en-GB"/>
          <w14:ligatures w14:val="none"/>
        </w:rPr>
        <w:t>would</w:t>
      </w:r>
      <w:proofErr w:type="gramEnd"/>
      <w:r w:rsidRPr="00FE593E">
        <w:rPr>
          <w:rFonts w:ascii="Arial" w:eastAsia="MS Mincho" w:hAnsi="Arial" w:cs="Times New Roman"/>
          <w:kern w:val="0"/>
          <w:sz w:val="20"/>
          <w:szCs w:val="24"/>
          <w:lang w:val="en-GB" w:eastAsia="en-GB"/>
          <w14:ligatures w14:val="none"/>
        </w:rPr>
        <w:t xml:space="preserve"> mean </w:t>
      </w:r>
      <w:r w:rsidR="00617823" w:rsidRPr="00FE593E">
        <w:rPr>
          <w:rFonts w:ascii="Arial" w:eastAsia="MS Mincho" w:hAnsi="Arial" w:cs="Times New Roman"/>
          <w:kern w:val="0"/>
          <w:sz w:val="20"/>
          <w:szCs w:val="24"/>
          <w:lang w:val="en-GB" w:eastAsia="en-GB"/>
          <w14:ligatures w14:val="none"/>
        </w:rPr>
        <w:t xml:space="preserve">that the UE supporting A2X in ANY </w:t>
      </w:r>
      <w:r w:rsidR="0090636F" w:rsidRPr="00FE593E">
        <w:rPr>
          <w:rFonts w:ascii="Arial" w:eastAsia="MS Mincho" w:hAnsi="Arial" w:cs="Times New Roman"/>
          <w:kern w:val="0"/>
          <w:sz w:val="20"/>
          <w:szCs w:val="24"/>
          <w:lang w:val="en-GB" w:eastAsia="en-GB"/>
          <w14:ligatures w14:val="none"/>
        </w:rPr>
        <w:t xml:space="preserve">SL </w:t>
      </w:r>
      <w:r w:rsidR="00617823" w:rsidRPr="00FE593E">
        <w:rPr>
          <w:rFonts w:ascii="Arial" w:eastAsia="MS Mincho" w:hAnsi="Arial" w:cs="Times New Roman"/>
          <w:kern w:val="0"/>
          <w:sz w:val="20"/>
          <w:szCs w:val="24"/>
          <w:lang w:val="en-GB" w:eastAsia="en-GB"/>
          <w14:ligatures w14:val="none"/>
        </w:rPr>
        <w:t xml:space="preserve">band </w:t>
      </w:r>
      <w:r w:rsidR="0090636F" w:rsidRPr="00FE593E">
        <w:rPr>
          <w:rFonts w:ascii="Arial" w:eastAsia="MS Mincho" w:hAnsi="Arial" w:cs="Times New Roman"/>
          <w:kern w:val="0"/>
          <w:sz w:val="20"/>
          <w:szCs w:val="24"/>
          <w:lang w:val="en-GB" w:eastAsia="en-GB"/>
          <w14:ligatures w14:val="none"/>
        </w:rPr>
        <w:t xml:space="preserve">shall </w:t>
      </w:r>
      <w:r w:rsidR="00617823" w:rsidRPr="00FE593E">
        <w:rPr>
          <w:rFonts w:ascii="Arial" w:eastAsia="MS Mincho" w:hAnsi="Arial" w:cs="Times New Roman"/>
          <w:kern w:val="0"/>
          <w:sz w:val="20"/>
          <w:szCs w:val="24"/>
          <w:lang w:val="en-GB" w:eastAsia="en-GB"/>
          <w14:ligatures w14:val="none"/>
        </w:rPr>
        <w:t>support</w:t>
      </w:r>
      <w:r w:rsidR="0090636F" w:rsidRPr="00FE593E">
        <w:rPr>
          <w:rFonts w:ascii="Arial" w:eastAsia="MS Mincho" w:hAnsi="Arial" w:cs="Times New Roman"/>
          <w:kern w:val="0"/>
          <w:sz w:val="20"/>
          <w:szCs w:val="24"/>
          <w:lang w:val="en-GB" w:eastAsia="en-GB"/>
          <w14:ligatures w14:val="none"/>
        </w:rPr>
        <w:t xml:space="preserve"> A2X and</w:t>
      </w:r>
      <w:r w:rsidR="00617823" w:rsidRPr="00FE593E">
        <w:rPr>
          <w:rFonts w:ascii="Arial" w:eastAsia="MS Mincho" w:hAnsi="Arial" w:cs="Times New Roman"/>
          <w:kern w:val="0"/>
          <w:sz w:val="20"/>
          <w:szCs w:val="24"/>
          <w:lang w:val="en-GB" w:eastAsia="en-GB"/>
          <w14:ligatures w14:val="none"/>
        </w:rPr>
        <w:t xml:space="preserve"> dedicated resource pools in ALL the supported Sidelink bands. Note however that the issue about the bands for UAV </w:t>
      </w:r>
      <w:r w:rsidR="00CE3B8F" w:rsidRPr="00FE593E">
        <w:rPr>
          <w:rFonts w:ascii="Arial" w:eastAsia="MS Mincho" w:hAnsi="Arial" w:cs="Times New Roman"/>
          <w:kern w:val="0"/>
          <w:sz w:val="20"/>
          <w:szCs w:val="24"/>
          <w:lang w:val="en-GB" w:eastAsia="en-GB"/>
          <w14:ligatures w14:val="none"/>
        </w:rPr>
        <w:t xml:space="preserve">use </w:t>
      </w:r>
      <w:r w:rsidR="00617823" w:rsidRPr="00FE593E">
        <w:rPr>
          <w:rFonts w:ascii="Arial" w:eastAsia="MS Mincho" w:hAnsi="Arial" w:cs="Times New Roman"/>
          <w:kern w:val="0"/>
          <w:sz w:val="20"/>
          <w:szCs w:val="24"/>
          <w:lang w:val="en-GB" w:eastAsia="en-GB"/>
          <w14:ligatures w14:val="none"/>
        </w:rPr>
        <w:t xml:space="preserve">were heavily discussed </w:t>
      </w:r>
      <w:r w:rsidR="0090636F" w:rsidRPr="00FE593E">
        <w:rPr>
          <w:rFonts w:ascii="Arial" w:eastAsia="MS Mincho" w:hAnsi="Arial" w:cs="Times New Roman"/>
          <w:kern w:val="0"/>
          <w:sz w:val="20"/>
          <w:szCs w:val="24"/>
          <w:lang w:val="en-GB" w:eastAsia="en-GB"/>
          <w14:ligatures w14:val="none"/>
        </w:rPr>
        <w:t xml:space="preserve">in RAN plenary </w:t>
      </w:r>
      <w:r w:rsidR="00617823" w:rsidRPr="00FE593E">
        <w:rPr>
          <w:rFonts w:ascii="Arial" w:eastAsia="MS Mincho" w:hAnsi="Arial" w:cs="Times New Roman"/>
          <w:kern w:val="0"/>
          <w:sz w:val="20"/>
          <w:szCs w:val="24"/>
          <w:lang w:val="en-GB" w:eastAsia="en-GB"/>
          <w14:ligatures w14:val="none"/>
        </w:rPr>
        <w:t xml:space="preserve">and following was captured in the WID: “Note: UAV use of NR PC5 is to be used only in designated bands as defined in regulation for BRID/DAA use.” Therefore, </w:t>
      </w:r>
      <w:r w:rsidR="008A40DD" w:rsidRPr="00FE593E">
        <w:rPr>
          <w:rFonts w:ascii="Arial" w:eastAsia="MS Mincho" w:hAnsi="Arial" w:cs="Times New Roman"/>
          <w:kern w:val="0"/>
          <w:sz w:val="20"/>
          <w:szCs w:val="24"/>
          <w:lang w:val="en-GB" w:eastAsia="en-GB"/>
          <w14:ligatures w14:val="none"/>
        </w:rPr>
        <w:t>it does not make sense to ALWAYS mandate that the UE supporting A2X in any SL band shall support A2X communication and SL dedicated resource pool for A2X in ALL the bands it supports for any Sidelink Communication.</w:t>
      </w:r>
      <w:r w:rsidR="0071088C" w:rsidRPr="00FE593E">
        <w:rPr>
          <w:rFonts w:ascii="Arial" w:eastAsia="MS Mincho" w:hAnsi="Arial" w:cs="Times New Roman"/>
          <w:kern w:val="0"/>
          <w:sz w:val="20"/>
          <w:szCs w:val="24"/>
          <w:lang w:val="en-GB" w:eastAsia="en-GB"/>
          <w14:ligatures w14:val="none"/>
        </w:rPr>
        <w:t xml:space="preserve"> Furthermore, i</w:t>
      </w:r>
      <w:r w:rsidR="0038792E" w:rsidRPr="00FE593E">
        <w:rPr>
          <w:rFonts w:ascii="Arial" w:eastAsia="MS Mincho" w:hAnsi="Arial" w:cs="Times New Roman"/>
          <w:kern w:val="0"/>
          <w:sz w:val="20"/>
          <w:szCs w:val="24"/>
          <w:lang w:val="en-GB" w:eastAsia="en-GB"/>
          <w14:ligatures w14:val="none"/>
        </w:rPr>
        <w:t xml:space="preserve">t is </w:t>
      </w:r>
      <w:r w:rsidR="000A1B0E" w:rsidRPr="00FE593E">
        <w:rPr>
          <w:rFonts w:ascii="Arial" w:eastAsia="MS Mincho" w:hAnsi="Arial" w:cs="Times New Roman"/>
          <w:kern w:val="0"/>
          <w:sz w:val="20"/>
          <w:szCs w:val="24"/>
          <w:lang w:val="en-GB" w:eastAsia="en-GB"/>
          <w14:ligatures w14:val="none"/>
        </w:rPr>
        <w:t>noted that</w:t>
      </w:r>
      <w:r w:rsidR="00CB4859" w:rsidRPr="00FE593E">
        <w:rPr>
          <w:rFonts w:ascii="Arial" w:eastAsia="MS Mincho" w:hAnsi="Arial" w:cs="Times New Roman"/>
          <w:kern w:val="0"/>
          <w:sz w:val="20"/>
          <w:szCs w:val="24"/>
          <w:lang w:val="en-GB" w:eastAsia="en-GB"/>
          <w14:ligatures w14:val="none"/>
        </w:rPr>
        <w:t xml:space="preserve"> when defining</w:t>
      </w:r>
      <w:r w:rsidR="0038792E" w:rsidRPr="00FE593E">
        <w:rPr>
          <w:rFonts w:ascii="Arial" w:eastAsia="MS Mincho" w:hAnsi="Arial" w:cs="Times New Roman"/>
          <w:kern w:val="0"/>
          <w:sz w:val="20"/>
          <w:szCs w:val="24"/>
          <w:lang w:val="en-GB" w:eastAsia="en-GB"/>
          <w14:ligatures w14:val="none"/>
        </w:rPr>
        <w:t xml:space="preserve"> </w:t>
      </w:r>
      <w:r w:rsidR="005F0670">
        <w:rPr>
          <w:rFonts w:ascii="Arial" w:eastAsia="MS Mincho" w:hAnsi="Arial" w:cs="Times New Roman"/>
          <w:kern w:val="0"/>
          <w:sz w:val="20"/>
          <w:szCs w:val="24"/>
          <w:lang w:val="en-GB" w:eastAsia="en-GB"/>
          <w14:ligatures w14:val="none"/>
        </w:rPr>
        <w:t>S</w:t>
      </w:r>
      <w:r w:rsidR="0038792E" w:rsidRPr="00FE593E">
        <w:rPr>
          <w:rFonts w:ascii="Arial" w:eastAsia="MS Mincho" w:hAnsi="Arial" w:cs="Times New Roman"/>
          <w:kern w:val="0"/>
          <w:sz w:val="20"/>
          <w:szCs w:val="24"/>
          <w:lang w:val="en-GB" w:eastAsia="en-GB"/>
          <w14:ligatures w14:val="none"/>
        </w:rPr>
        <w:t>idelink CA in Rel-18</w:t>
      </w:r>
      <w:r w:rsidR="00CB4859" w:rsidRPr="00FE593E">
        <w:rPr>
          <w:rFonts w:ascii="Arial" w:eastAsia="MS Mincho" w:hAnsi="Arial" w:cs="Times New Roman"/>
          <w:kern w:val="0"/>
          <w:sz w:val="20"/>
          <w:szCs w:val="24"/>
          <w:lang w:val="en-GB" w:eastAsia="en-GB"/>
          <w14:ligatures w14:val="none"/>
        </w:rPr>
        <w:t>,</w:t>
      </w:r>
      <w:r w:rsidR="0038792E" w:rsidRPr="00FE593E">
        <w:rPr>
          <w:rFonts w:ascii="Arial" w:eastAsia="MS Mincho" w:hAnsi="Arial" w:cs="Times New Roman"/>
          <w:kern w:val="0"/>
          <w:sz w:val="20"/>
          <w:szCs w:val="24"/>
          <w:lang w:val="en-GB" w:eastAsia="en-GB"/>
          <w14:ligatures w14:val="none"/>
        </w:rPr>
        <w:t xml:space="preserve"> RAN1 concluded the SL-CA feature granularity would</w:t>
      </w:r>
      <w:r w:rsidR="00CB4859" w:rsidRPr="00FE593E">
        <w:rPr>
          <w:rFonts w:ascii="Arial" w:eastAsia="MS Mincho" w:hAnsi="Arial" w:cs="Times New Roman"/>
          <w:kern w:val="0"/>
          <w:sz w:val="20"/>
          <w:szCs w:val="24"/>
          <w:lang w:val="en-GB" w:eastAsia="en-GB"/>
          <w14:ligatures w14:val="none"/>
        </w:rPr>
        <w:t xml:space="preserve"> also</w:t>
      </w:r>
      <w:r w:rsidR="0038792E" w:rsidRPr="00FE593E">
        <w:rPr>
          <w:rFonts w:ascii="Arial" w:eastAsia="MS Mincho" w:hAnsi="Arial" w:cs="Times New Roman"/>
          <w:kern w:val="0"/>
          <w:sz w:val="20"/>
          <w:szCs w:val="24"/>
          <w:lang w:val="en-GB" w:eastAsia="en-GB"/>
          <w14:ligatures w14:val="none"/>
        </w:rPr>
        <w:t xml:space="preserve"> be per band, as shown in </w:t>
      </w:r>
      <w:r w:rsidR="00F413AE" w:rsidRPr="00FE593E">
        <w:rPr>
          <w:rFonts w:ascii="Arial" w:eastAsia="MS Mincho" w:hAnsi="Arial" w:cs="Times New Roman"/>
          <w:kern w:val="0"/>
          <w:sz w:val="20"/>
          <w:szCs w:val="24"/>
          <w:lang w:val="en-GB" w:eastAsia="en-GB"/>
          <w14:ligatures w14:val="none"/>
        </w:rPr>
        <w:t>feature 47-v1 in</w:t>
      </w:r>
      <w:r w:rsidR="0038792E" w:rsidRPr="00FE593E">
        <w:rPr>
          <w:rFonts w:ascii="Arial" w:eastAsia="MS Mincho" w:hAnsi="Arial" w:cs="Times New Roman"/>
          <w:kern w:val="0"/>
          <w:sz w:val="20"/>
          <w:szCs w:val="24"/>
          <w:lang w:val="en-GB" w:eastAsia="en-GB"/>
          <w14:ligatures w14:val="none"/>
        </w:rPr>
        <w:t xml:space="preserve"> the latest RAN1 feature list (see LS in R2-2400021 or the feature list in R1-2312705).</w:t>
      </w:r>
      <w:bookmarkEnd w:id="50"/>
      <w:bookmarkEnd w:id="51"/>
      <w:bookmarkEnd w:id="52"/>
      <w:bookmarkEnd w:id="53"/>
      <w:bookmarkEnd w:id="54"/>
      <w:r w:rsidR="005F0670">
        <w:rPr>
          <w:rFonts w:ascii="Arial" w:eastAsia="MS Mincho" w:hAnsi="Arial" w:cs="Times New Roman"/>
          <w:kern w:val="0"/>
          <w:sz w:val="20"/>
          <w:szCs w:val="24"/>
          <w:lang w:val="en-GB" w:eastAsia="en-GB"/>
          <w14:ligatures w14:val="none"/>
        </w:rPr>
        <w:t xml:space="preserve"> More details can be found in company contribution R2-2400825.</w:t>
      </w:r>
    </w:p>
    <w:p w14:paraId="7413D194" w14:textId="77777777" w:rsidR="002778DA" w:rsidRDefault="002778DA" w:rsidP="002778DA">
      <w:pPr>
        <w:pStyle w:val="Proposal"/>
        <w:numPr>
          <w:ilvl w:val="0"/>
          <w:numId w:val="5"/>
        </w:numPr>
        <w:spacing w:line="276" w:lineRule="auto"/>
      </w:pPr>
      <w:bookmarkStart w:id="55" w:name="_Toc149857399"/>
      <w:bookmarkStart w:id="56" w:name="_Toc149859575"/>
      <w:bookmarkStart w:id="57" w:name="_Toc158983625"/>
      <w:bookmarkStart w:id="58" w:name="_Toc158985778"/>
      <w:bookmarkStart w:id="59" w:name="_Toc159007777"/>
      <w:bookmarkStart w:id="60" w:name="_Toc159008167"/>
      <w:bookmarkStart w:id="61" w:name="_Toc159008401"/>
      <w:bookmarkStart w:id="62" w:name="_Toc159008432"/>
      <w:bookmarkStart w:id="63" w:name="_Toc159147318"/>
      <w:bookmarkStart w:id="64" w:name="_Toc159148365"/>
      <w:bookmarkStart w:id="65" w:name="_Toc159148476"/>
      <w:bookmarkStart w:id="66" w:name="_Toc159169327"/>
      <w:bookmarkStart w:id="67" w:name="_Toc159169339"/>
      <w:bookmarkStart w:id="68" w:name="_Toc159169361"/>
      <w:bookmarkStart w:id="69" w:name="_Toc159181176"/>
      <w:bookmarkStart w:id="70" w:name="_Toc159181186"/>
      <w:r>
        <w:t>For both NR and LTE: sl-A2X-Service-r18 capability (</w:t>
      </w:r>
      <w:r w:rsidRPr="00EC38E4">
        <w:t>support</w:t>
      </w:r>
      <w:r>
        <w:t xml:space="preserve"> of</w:t>
      </w:r>
      <w:r w:rsidRPr="00EC38E4">
        <w:t xml:space="preserve"> </w:t>
      </w:r>
      <w:r>
        <w:t xml:space="preserve">A2X service(s) using PC5 sidelink and </w:t>
      </w:r>
      <w:r w:rsidRPr="00EC38E4">
        <w:t xml:space="preserve">dedicated resource pool for </w:t>
      </w:r>
      <w:r>
        <w:t xml:space="preserve">corresponding </w:t>
      </w:r>
      <w:r w:rsidRPr="00EC38E4">
        <w:t>A2X service</w:t>
      </w:r>
      <w:r>
        <w:t>) is indicated per band</w:t>
      </w:r>
      <w:bookmarkEnd w:id="55"/>
      <w:bookmarkEnd w:id="56"/>
      <w:bookmarkEnd w:id="57"/>
      <w:r>
        <w:t>.</w:t>
      </w:r>
      <w:bookmarkEnd w:id="58"/>
      <w:bookmarkEnd w:id="59"/>
      <w:bookmarkEnd w:id="60"/>
      <w:bookmarkEnd w:id="61"/>
      <w:bookmarkEnd w:id="62"/>
      <w:bookmarkEnd w:id="63"/>
      <w:bookmarkEnd w:id="64"/>
      <w:bookmarkEnd w:id="65"/>
      <w:bookmarkEnd w:id="66"/>
      <w:bookmarkEnd w:id="67"/>
      <w:bookmarkEnd w:id="68"/>
      <w:bookmarkEnd w:id="69"/>
      <w:bookmarkEnd w:id="70"/>
    </w:p>
    <w:p w14:paraId="4841EFF5" w14:textId="22EF3152" w:rsidR="00841648" w:rsidRDefault="002778DA" w:rsidP="0066280A">
      <w:pPr>
        <w:pStyle w:val="Proposal"/>
        <w:numPr>
          <w:ilvl w:val="0"/>
          <w:numId w:val="5"/>
        </w:numPr>
      </w:pPr>
      <w:bookmarkStart w:id="71" w:name="_Toc159147319"/>
      <w:bookmarkStart w:id="72" w:name="_Toc159148366"/>
      <w:bookmarkStart w:id="73" w:name="_Toc159148477"/>
      <w:bookmarkStart w:id="74" w:name="_Toc159169328"/>
      <w:bookmarkStart w:id="75" w:name="_Toc159169340"/>
      <w:bookmarkStart w:id="76" w:name="_Toc159169362"/>
      <w:bookmarkStart w:id="77" w:name="_Toc159181177"/>
      <w:bookmarkStart w:id="78" w:name="_Toc159181187"/>
      <w:r>
        <w:t xml:space="preserve">Update </w:t>
      </w:r>
      <w:r w:rsidR="00862E3D">
        <w:t xml:space="preserve">NR </w:t>
      </w:r>
      <w:r>
        <w:t xml:space="preserve">RRC </w:t>
      </w:r>
      <w:r w:rsidR="002C7D8A">
        <w:t>to move sl-A2X-</w:t>
      </w:r>
      <w:r w:rsidR="00862E3D">
        <w:t xml:space="preserve">Service-r18 to per band </w:t>
      </w:r>
      <w:r w:rsidR="0019367C">
        <w:t>(i.e. inside BandSidelink-r16)</w:t>
      </w:r>
      <w:r w:rsidR="0061144B">
        <w:t>, M = No, FDD-TDD</w:t>
      </w:r>
      <w:r w:rsidR="00A2618A">
        <w:t xml:space="preserve"> diff = NA/A, </w:t>
      </w:r>
      <w:r w:rsidR="0061144B">
        <w:t>FR1-FR2 diff = N/A</w:t>
      </w:r>
      <w:r w:rsidR="007152D7">
        <w:t>.</w:t>
      </w:r>
      <w:r w:rsidR="009E20E3">
        <w:t xml:space="preserve"> </w:t>
      </w:r>
      <w:r w:rsidR="0019367C">
        <w:t>U</w:t>
      </w:r>
      <w:r w:rsidR="00631FE1">
        <w:t>pdate</w:t>
      </w:r>
      <w:r w:rsidR="003727DC">
        <w:t xml:space="preserve"> </w:t>
      </w:r>
      <w:r w:rsidR="009E20E3">
        <w:t>description in</w:t>
      </w:r>
      <w:r w:rsidR="00A21914">
        <w:t xml:space="preserve"> TS</w:t>
      </w:r>
      <w:r w:rsidR="009E20E3">
        <w:t xml:space="preserve"> 3</w:t>
      </w:r>
      <w:r w:rsidR="00631FE1">
        <w:t>8</w:t>
      </w:r>
      <w:r w:rsidR="009E20E3">
        <w:t>.306</w:t>
      </w:r>
      <w:r w:rsidR="0019367C">
        <w:t xml:space="preserve"> (can keep it in 4.2.24 in 38.306)</w:t>
      </w:r>
      <w:r w:rsidR="009E20E3">
        <w:t>.</w:t>
      </w:r>
      <w:bookmarkEnd w:id="33"/>
      <w:bookmarkEnd w:id="34"/>
      <w:bookmarkEnd w:id="35"/>
      <w:bookmarkEnd w:id="36"/>
      <w:bookmarkEnd w:id="37"/>
      <w:bookmarkEnd w:id="71"/>
      <w:bookmarkEnd w:id="72"/>
      <w:bookmarkEnd w:id="73"/>
      <w:bookmarkEnd w:id="74"/>
      <w:bookmarkEnd w:id="75"/>
      <w:bookmarkEnd w:id="76"/>
      <w:bookmarkEnd w:id="77"/>
      <w:bookmarkEnd w:id="78"/>
    </w:p>
    <w:p w14:paraId="71513599" w14:textId="77777777" w:rsidR="00674104" w:rsidRDefault="00674104">
      <w:pPr>
        <w:rPr>
          <w:sz w:val="20"/>
          <w:szCs w:val="20"/>
        </w:rPr>
        <w:sectPr w:rsidR="00674104" w:rsidSect="009D7762">
          <w:pgSz w:w="12240" w:h="15840" w:code="1"/>
          <w:pgMar w:top="1440" w:right="1440" w:bottom="1440" w:left="1440" w:header="720" w:footer="720" w:gutter="0"/>
          <w:cols w:space="720"/>
          <w:docGrid w:linePitch="360"/>
        </w:sectPr>
      </w:pPr>
      <w:r>
        <w:rPr>
          <w:sz w:val="20"/>
          <w:szCs w:val="20"/>
        </w:rPr>
        <w:br w:type="page"/>
      </w:r>
    </w:p>
    <w:p w14:paraId="2D88D508" w14:textId="17428354" w:rsidR="00674104" w:rsidRPr="00A6313E" w:rsidRDefault="00FE15D2" w:rsidP="00A6313E">
      <w:pPr>
        <w:pStyle w:val="ListParagraph"/>
        <w:keepNext/>
        <w:keepLines/>
        <w:numPr>
          <w:ilvl w:val="0"/>
          <w:numId w:val="2"/>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 xml:space="preserve">Proposed resolutions for the ASN.1 RILs. </w:t>
      </w:r>
    </w:p>
    <w:p w14:paraId="4E3C8C8D" w14:textId="5B80D099" w:rsidR="00FE15D2" w:rsidRDefault="00FE15D2">
      <w:pPr>
        <w:rPr>
          <w:sz w:val="20"/>
          <w:szCs w:val="20"/>
        </w:rPr>
      </w:pPr>
      <w:r>
        <w:rPr>
          <w:sz w:val="20"/>
          <w:szCs w:val="20"/>
        </w:rPr>
        <w:t xml:space="preserve">RILs </w:t>
      </w:r>
      <w:r w:rsidR="003B38C2">
        <w:rPr>
          <w:sz w:val="20"/>
          <w:szCs w:val="20"/>
        </w:rPr>
        <w:t>up to</w:t>
      </w:r>
      <w:r>
        <w:rPr>
          <w:sz w:val="20"/>
          <w:szCs w:val="20"/>
        </w:rPr>
        <w:t xml:space="preserve"> </w:t>
      </w:r>
      <w:r w:rsidR="0030274C">
        <w:rPr>
          <w:sz w:val="20"/>
          <w:szCs w:val="20"/>
        </w:rPr>
        <w:t>NR</w:t>
      </w:r>
      <w:r w:rsidR="003B38C2">
        <w:rPr>
          <w:sz w:val="20"/>
          <w:szCs w:val="20"/>
        </w:rPr>
        <w:t xml:space="preserve"> </w:t>
      </w:r>
      <w:r>
        <w:rPr>
          <w:sz w:val="20"/>
          <w:szCs w:val="20"/>
        </w:rPr>
        <w:t xml:space="preserve">review file version </w:t>
      </w:r>
      <w:r w:rsidR="0030274C">
        <w:rPr>
          <w:sz w:val="20"/>
          <w:szCs w:val="20"/>
        </w:rPr>
        <w:t>2</w:t>
      </w:r>
      <w:r>
        <w:rPr>
          <w:sz w:val="20"/>
          <w:szCs w:val="20"/>
        </w:rPr>
        <w:t>2</w:t>
      </w:r>
      <w:r w:rsidR="008459CB">
        <w:rPr>
          <w:sz w:val="20"/>
          <w:szCs w:val="20"/>
        </w:rPr>
        <w:t>4</w:t>
      </w:r>
      <w:r>
        <w:rPr>
          <w:sz w:val="20"/>
          <w:szCs w:val="20"/>
        </w:rPr>
        <w:t xml:space="preserve"> are covered</w:t>
      </w:r>
      <w:r w:rsidR="003B38C2">
        <w:rPr>
          <w:sz w:val="20"/>
          <w:szCs w:val="20"/>
        </w:rPr>
        <w:t xml:space="preserve"> below.</w:t>
      </w:r>
    </w:p>
    <w:p w14:paraId="62F214A5" w14:textId="77777777" w:rsidR="009976CE" w:rsidRDefault="009976CE">
      <w:pPr>
        <w:rPr>
          <w:sz w:val="20"/>
          <w:szCs w:val="20"/>
        </w:rPr>
      </w:pPr>
    </w:p>
    <w:p w14:paraId="1D7EE155" w14:textId="763D0C19" w:rsidR="00A6313E" w:rsidRPr="00745EC4" w:rsidRDefault="00962FE9" w:rsidP="00745EC4">
      <w:pPr>
        <w:pStyle w:val="Heading2"/>
        <w:numPr>
          <w:ilvl w:val="1"/>
          <w:numId w:val="2"/>
        </w:numPr>
        <w:spacing w:line="276" w:lineRule="auto"/>
        <w:ind w:left="576" w:hanging="576"/>
        <w:rPr>
          <w:i w:val="0"/>
          <w:iCs w:val="0"/>
        </w:rPr>
      </w:pPr>
      <w:r w:rsidRPr="00745EC4">
        <w:rPr>
          <w:i w:val="0"/>
          <w:iCs w:val="0"/>
        </w:rPr>
        <w:t>RILs with proposed resolution PropAgree</w:t>
      </w:r>
    </w:p>
    <w:p w14:paraId="441BA1B0" w14:textId="77777777" w:rsidR="00A6313E" w:rsidRDefault="00A6313E" w:rsidP="00A6313E">
      <w:pPr>
        <w:rPr>
          <w:sz w:val="20"/>
          <w:szCs w:val="20"/>
        </w:rPr>
      </w:pPr>
    </w:p>
    <w:tbl>
      <w:tblPr>
        <w:tblW w:w="3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30"/>
        <w:gridCol w:w="6945"/>
        <w:gridCol w:w="11160"/>
        <w:gridCol w:w="8553"/>
        <w:gridCol w:w="1109"/>
        <w:gridCol w:w="1926"/>
      </w:tblGrid>
      <w:tr w:rsidR="001D3D68" w:rsidRPr="002D6A40" w14:paraId="3260B39B" w14:textId="77777777" w:rsidTr="00FA6B67">
        <w:trPr>
          <w:tblHeader/>
        </w:trPr>
        <w:tc>
          <w:tcPr>
            <w:tcW w:w="700" w:type="dxa"/>
            <w:shd w:val="clear" w:color="auto" w:fill="auto"/>
            <w:noWrap/>
            <w:hideMark/>
          </w:tcPr>
          <w:p w14:paraId="76C36008" w14:textId="77777777" w:rsidR="001D3D68" w:rsidRPr="002D6A40" w:rsidRDefault="001D3D68"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ID</w:t>
            </w:r>
          </w:p>
        </w:tc>
        <w:tc>
          <w:tcPr>
            <w:tcW w:w="630" w:type="dxa"/>
            <w:shd w:val="clear" w:color="auto" w:fill="auto"/>
            <w:noWrap/>
            <w:hideMark/>
          </w:tcPr>
          <w:p w14:paraId="40480566" w14:textId="77777777" w:rsidR="001D3D68" w:rsidRPr="002D6A40" w:rsidRDefault="001D3D68" w:rsidP="0034642D">
            <w:pPr>
              <w:spacing w:after="0" w:line="240" w:lineRule="auto"/>
              <w:jc w:val="center"/>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Class</w:t>
            </w:r>
          </w:p>
        </w:tc>
        <w:tc>
          <w:tcPr>
            <w:tcW w:w="6945" w:type="dxa"/>
            <w:shd w:val="clear" w:color="auto" w:fill="auto"/>
            <w:hideMark/>
          </w:tcPr>
          <w:p w14:paraId="2603E283" w14:textId="77777777" w:rsidR="001D3D68" w:rsidRPr="002D6A40" w:rsidRDefault="001D3D68"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Description</w:t>
            </w:r>
          </w:p>
        </w:tc>
        <w:tc>
          <w:tcPr>
            <w:tcW w:w="11160" w:type="dxa"/>
            <w:shd w:val="clear" w:color="auto" w:fill="auto"/>
            <w:hideMark/>
          </w:tcPr>
          <w:p w14:paraId="7E1587DD" w14:textId="77777777" w:rsidR="001D3D68" w:rsidRPr="002D6A40" w:rsidRDefault="001D3D68"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Proposed Change</w:t>
            </w:r>
          </w:p>
        </w:tc>
        <w:tc>
          <w:tcPr>
            <w:tcW w:w="8553" w:type="dxa"/>
            <w:shd w:val="clear" w:color="auto" w:fill="auto"/>
            <w:noWrap/>
            <w:hideMark/>
          </w:tcPr>
          <w:p w14:paraId="1B0A260B" w14:textId="77777777" w:rsidR="001D3D68" w:rsidRPr="002D6A40" w:rsidRDefault="001D3D68"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Comments</w:t>
            </w:r>
          </w:p>
        </w:tc>
        <w:tc>
          <w:tcPr>
            <w:tcW w:w="1109" w:type="dxa"/>
          </w:tcPr>
          <w:p w14:paraId="6F62381A" w14:textId="77777777" w:rsidR="001D3D68" w:rsidRDefault="001D3D68" w:rsidP="0034642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Proposed resolution</w:t>
            </w:r>
          </w:p>
        </w:tc>
        <w:tc>
          <w:tcPr>
            <w:tcW w:w="1926" w:type="dxa"/>
          </w:tcPr>
          <w:p w14:paraId="260F41EC" w14:textId="77777777" w:rsidR="001D3D68" w:rsidRPr="002D6A40" w:rsidRDefault="001D3D68" w:rsidP="0034642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Rapp NOTE</w:t>
            </w:r>
          </w:p>
        </w:tc>
      </w:tr>
      <w:tr w:rsidR="001D3D68" w:rsidRPr="002D6A40" w14:paraId="64460191" w14:textId="77777777" w:rsidTr="00FA6B67">
        <w:trPr>
          <w:tblHeader/>
        </w:trPr>
        <w:tc>
          <w:tcPr>
            <w:tcW w:w="700" w:type="dxa"/>
            <w:shd w:val="clear" w:color="auto" w:fill="auto"/>
            <w:noWrap/>
            <w:hideMark/>
          </w:tcPr>
          <w:p w14:paraId="42D715F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H743</w:t>
            </w:r>
          </w:p>
        </w:tc>
        <w:tc>
          <w:tcPr>
            <w:tcW w:w="630" w:type="dxa"/>
            <w:shd w:val="clear" w:color="auto" w:fill="auto"/>
            <w:noWrap/>
            <w:hideMark/>
          </w:tcPr>
          <w:p w14:paraId="5072FB66"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623614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Currently, NR sidelink communication does not include A2X communication. When the UAV-UE receives the SIB12 and it is configured to receive the NR sidelink communication as described in 5.2.2.4.13, the UAV-UE may be confused about how to use the A2X dedicated resource pool.</w:t>
            </w:r>
          </w:p>
        </w:tc>
        <w:tc>
          <w:tcPr>
            <w:tcW w:w="11160" w:type="dxa"/>
            <w:shd w:val="clear" w:color="auto" w:fill="auto"/>
            <w:hideMark/>
          </w:tcPr>
          <w:p w14:paraId="7656D55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to “AS functionality enabling at least V2X Communication as defined in TS 23.287 [55] and A2X communication as defined in TS 23.256 [76],”.</w:t>
            </w:r>
          </w:p>
        </w:tc>
        <w:tc>
          <w:tcPr>
            <w:tcW w:w="8553" w:type="dxa"/>
            <w:shd w:val="clear" w:color="auto" w:fill="auto"/>
            <w:noWrap/>
            <w:hideMark/>
          </w:tcPr>
          <w:p w14:paraId="7C43B642"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tend to agree with the intent of the comment, however should it be 'AND' or 'OR'? If we put 'AND … A2X' after 'at least', aren't we basically adding more requirements to the definition of (existing) NR sidelink communication?</w:t>
            </w:r>
          </w:p>
          <w:p w14:paraId="4CB3F6C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QC v244: will capture in CR using ‘and/or’.</w:t>
            </w:r>
          </w:p>
        </w:tc>
        <w:tc>
          <w:tcPr>
            <w:tcW w:w="1109" w:type="dxa"/>
          </w:tcPr>
          <w:p w14:paraId="2F0F841E"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PropAgree</w:t>
            </w:r>
          </w:p>
        </w:tc>
        <w:tc>
          <w:tcPr>
            <w:tcW w:w="1926" w:type="dxa"/>
          </w:tcPr>
          <w:p w14:paraId="014C397C" w14:textId="77777777" w:rsidR="001D3D68" w:rsidRPr="00D23CE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116CA0B6" w14:textId="77777777" w:rsidTr="00FA6B67">
        <w:trPr>
          <w:tblHeader/>
        </w:trPr>
        <w:tc>
          <w:tcPr>
            <w:tcW w:w="700" w:type="dxa"/>
            <w:shd w:val="clear" w:color="auto" w:fill="auto"/>
            <w:noWrap/>
            <w:hideMark/>
          </w:tcPr>
          <w:p w14:paraId="6CB7085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J061</w:t>
            </w:r>
          </w:p>
        </w:tc>
        <w:tc>
          <w:tcPr>
            <w:tcW w:w="630" w:type="dxa"/>
            <w:shd w:val="clear" w:color="auto" w:fill="auto"/>
            <w:noWrap/>
            <w:hideMark/>
          </w:tcPr>
          <w:p w14:paraId="44C8EAA5"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ADE966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Selection of the first frequency band in frequencyBandList is incorrect when nr-NS-PmaxListAerial is absent.</w:t>
            </w:r>
          </w:p>
        </w:tc>
        <w:tc>
          <w:tcPr>
            <w:tcW w:w="11160" w:type="dxa"/>
            <w:shd w:val="clear" w:color="auto" w:fill="auto"/>
            <w:hideMark/>
          </w:tcPr>
          <w:p w14:paraId="783BEA4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Based on field description, if nr-NS-PmaxListAerial is absent, nr-NS-PmaxList is used for the corresponding NR frequency band number. In this case, UE should still select the first frequency band in frequencyBandListAerial not in frequencyBandList. Suggest to add the following description before this “else” to cover nr-NS-PmaxListAerial absent case: 4&gt; else if the UE is aerial UE and it supports at least one frequency band in the frequencyBandListAerial, for FDD from frequencyBandListAerial for uplink, or for TDD from frequencyBandListAerial for downlink, for which the UE supports at least one of the additionalSpectrumEmission values in nr-NS-PmaxList, if present: 5&gt; select the first frequency band in the frequencyBandListAerial, for FDD from frequencyBandListAerial for uplink, or for TDD from frequencyBandListAerial for downlink, which the UE supports and for which the UE supports at least one of the additionalSpectrumEmission values in nr-NS-PmaxList;</w:t>
            </w:r>
          </w:p>
        </w:tc>
        <w:tc>
          <w:tcPr>
            <w:tcW w:w="8553" w:type="dxa"/>
            <w:shd w:val="clear" w:color="auto" w:fill="auto"/>
            <w:noWrap/>
            <w:hideMark/>
          </w:tcPr>
          <w:p w14:paraId="2D981E2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agree with the issue. However, given that field description is already clear on what value 'applies' in various cases, the simpler solution is to simply remove 'if present' from here as shown below:</w:t>
            </w:r>
            <w:r w:rsidRPr="002D6A40">
              <w:rPr>
                <w:rFonts w:ascii="Calibri" w:eastAsia="Times New Roman" w:hAnsi="Calibri" w:cs="Calibri"/>
                <w:color w:val="000000"/>
                <w:kern w:val="0"/>
                <w:sz w:val="20"/>
                <w:szCs w:val="20"/>
                <w14:ligatures w14:val="none"/>
              </w:rPr>
              <w:br/>
              <w:t>4&gt;  if the UE is aerial UE and it supports at least one frequency band in the frequencyBandListAerial, for FDD from frequencyBandListAerial for uplink, or for TDD from frequencyBandListAerial for downlink, for which the UE supports at least one of the additionalSpectrumEmission values in nr-NS-PmaxListAerial</w:t>
            </w:r>
            <w:r w:rsidRPr="002D6A40">
              <w:rPr>
                <w:rFonts w:ascii="Calibri" w:eastAsia="Times New Roman" w:hAnsi="Calibri" w:cs="Calibri"/>
                <w:strike/>
                <w:color w:val="FF0000"/>
                <w:kern w:val="0"/>
                <w:sz w:val="20"/>
                <w:szCs w:val="20"/>
                <w14:ligatures w14:val="none"/>
              </w:rPr>
              <w:t>, if present:</w:t>
            </w:r>
          </w:p>
        </w:tc>
        <w:tc>
          <w:tcPr>
            <w:tcW w:w="1109" w:type="dxa"/>
          </w:tcPr>
          <w:p w14:paraId="3FCAA9F2" w14:textId="77777777" w:rsidR="001D3D68" w:rsidRPr="00CA184E" w:rsidRDefault="001D3D68" w:rsidP="0034642D">
            <w:pPr>
              <w:spacing w:after="0" w:line="240" w:lineRule="auto"/>
              <w:rPr>
                <w:rFonts w:ascii="Calibri" w:eastAsia="Times New Roman" w:hAnsi="Calibri" w:cs="Calibri"/>
                <w:color w:val="000000"/>
                <w:kern w:val="0"/>
                <w:sz w:val="20"/>
                <w:szCs w:val="20"/>
                <w:highlight w:val="yellow"/>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5CE67D9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61BA81C" w14:textId="77777777" w:rsidTr="00FA6B67">
        <w:trPr>
          <w:tblHeader/>
        </w:trPr>
        <w:tc>
          <w:tcPr>
            <w:tcW w:w="700" w:type="dxa"/>
            <w:shd w:val="clear" w:color="auto" w:fill="auto"/>
            <w:noWrap/>
            <w:hideMark/>
          </w:tcPr>
          <w:p w14:paraId="0F5E28F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Z074</w:t>
            </w:r>
          </w:p>
        </w:tc>
        <w:tc>
          <w:tcPr>
            <w:tcW w:w="630" w:type="dxa"/>
            <w:shd w:val="clear" w:color="auto" w:fill="auto"/>
            <w:noWrap/>
            <w:hideMark/>
          </w:tcPr>
          <w:p w14:paraId="2A55F361"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3E66A8C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Following two conditions are redundant and can be combined. 3&gt; if the UE had not previously provided a flight path information since last entering RRC_CONNECTED state; or 3&gt; if at least one waypoint was not previously provided; or</w:t>
            </w:r>
          </w:p>
        </w:tc>
        <w:tc>
          <w:tcPr>
            <w:tcW w:w="11160" w:type="dxa"/>
            <w:shd w:val="clear" w:color="auto" w:fill="auto"/>
            <w:hideMark/>
          </w:tcPr>
          <w:p w14:paraId="0366B52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3&gt; if the UE had not previously provided a flight path information since last entering RRC_CONNECTED state; or 3&gt; if at least one waypoint was not previously provided since last entering RRC_CONNECTED; or</w:t>
            </w:r>
          </w:p>
        </w:tc>
        <w:tc>
          <w:tcPr>
            <w:tcW w:w="8553" w:type="dxa"/>
            <w:shd w:val="clear" w:color="auto" w:fill="auto"/>
            <w:noWrap/>
            <w:hideMark/>
          </w:tcPr>
          <w:p w14:paraId="163FD27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eastAsia="Malgun Gothic"/>
                <w:lang w:eastAsia="en-GB"/>
              </w:rPr>
              <w:t xml:space="preserve">QC as rapp: those two conditions refer to two different cases - the first one means flight path is being provided for the first time, and second conditions means there is at least one new waypoint (i.e. the flightpath was previously provided but is being updated). So, merging is not straightforward. However, I agree with proposed change. Also see V822. Perhaps updating the second condition to "3&gt; if at least one waypoint </w:t>
            </w:r>
            <w:bookmarkStart w:id="79" w:name="_Hlk158993914"/>
            <w:r>
              <w:rPr>
                <w:rFonts w:eastAsia="Malgun Gothic"/>
                <w:color w:val="FF0000"/>
                <w:lang w:eastAsia="en-GB"/>
              </w:rPr>
              <w:t>or a timestamp corresponding to a waypoint location not previously provided since last entering RRC_CONNECTED state is available</w:t>
            </w:r>
            <w:bookmarkEnd w:id="79"/>
            <w:r>
              <w:rPr>
                <w:rFonts w:eastAsia="Malgun Gothic"/>
                <w:lang w:eastAsia="en-GB"/>
              </w:rPr>
              <w:t>" is better? Comments welcome.</w:t>
            </w:r>
          </w:p>
        </w:tc>
        <w:tc>
          <w:tcPr>
            <w:tcW w:w="1109" w:type="dxa"/>
          </w:tcPr>
          <w:p w14:paraId="2978DA8C"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1C64E7C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58C501BC" w14:textId="77777777" w:rsidTr="00FA6B67">
        <w:trPr>
          <w:tblHeader/>
        </w:trPr>
        <w:tc>
          <w:tcPr>
            <w:tcW w:w="700" w:type="dxa"/>
            <w:shd w:val="clear" w:color="auto" w:fill="auto"/>
            <w:noWrap/>
            <w:hideMark/>
          </w:tcPr>
          <w:p w14:paraId="4E0D219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Z075</w:t>
            </w:r>
          </w:p>
        </w:tc>
        <w:tc>
          <w:tcPr>
            <w:tcW w:w="630" w:type="dxa"/>
            <w:shd w:val="clear" w:color="auto" w:fill="auto"/>
            <w:noWrap/>
            <w:hideMark/>
          </w:tcPr>
          <w:p w14:paraId="68CDD15A"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3AE5587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Current description “previously provided” means “previously provided since last entering RRC_CONNECTED state” and “previously provided before last entering RRC_CONNECTED state”. We prefer to make it </w:t>
            </w:r>
            <w:proofErr w:type="gramStart"/>
            <w:r w:rsidRPr="002D6A40">
              <w:rPr>
                <w:rFonts w:ascii="Calibri" w:eastAsia="Times New Roman" w:hAnsi="Calibri" w:cs="Calibri"/>
                <w:color w:val="000000"/>
                <w:kern w:val="0"/>
                <w:sz w:val="20"/>
                <w:szCs w:val="20"/>
                <w14:ligatures w14:val="none"/>
              </w:rPr>
              <w:t>more clear</w:t>
            </w:r>
            <w:proofErr w:type="gramEnd"/>
            <w:r w:rsidRPr="002D6A40">
              <w:rPr>
                <w:rFonts w:ascii="Calibri" w:eastAsia="Times New Roman" w:hAnsi="Calibri" w:cs="Calibri"/>
                <w:color w:val="000000"/>
                <w:kern w:val="0"/>
                <w:sz w:val="20"/>
                <w:szCs w:val="20"/>
                <w14:ligatures w14:val="none"/>
              </w:rPr>
              <w:t>.</w:t>
            </w:r>
          </w:p>
        </w:tc>
        <w:tc>
          <w:tcPr>
            <w:tcW w:w="11160" w:type="dxa"/>
            <w:shd w:val="clear" w:color="auto" w:fill="auto"/>
            <w:hideMark/>
          </w:tcPr>
          <w:p w14:paraId="0B7EAC5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if at least one upcoming waypoint that was previously provided since last entering RRC_CONNECTED state is being removed; or 3&gt; if flightPathUpdateDistanceThr is configured and for at least one waypoint that was previously provided since last entering RRC_CONNECTED state, the 3D distance between the previously provided location and the new location is more than or equal to the distance threshold configured by flightPathUpdateDistanceThr; or 3&gt; if flightPathUpdateTimeThr is configured and for at least one waypoint that was previously provided since last entering RRC_CONNECTED state, the timestamp was not previously provided but is now available, or the time between the previously provided timestamp and the new timestamp, if available, is more than or equal to the time threshold configured by flightPathUpdateTimeThr:</w:t>
            </w:r>
          </w:p>
        </w:tc>
        <w:tc>
          <w:tcPr>
            <w:tcW w:w="8553" w:type="dxa"/>
            <w:shd w:val="clear" w:color="auto" w:fill="auto"/>
            <w:noWrap/>
            <w:hideMark/>
          </w:tcPr>
          <w:p w14:paraId="15A71FF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While I have sympathy with the whole intent, I think the second and third proposed changes were previously considered and removed for being quite clear, however for the first one, it seems better to clarify (i.e. add 'since last…' in the </w:t>
            </w:r>
            <w:r>
              <w:rPr>
                <w:rFonts w:ascii="Calibri" w:eastAsia="Times New Roman" w:hAnsi="Calibri" w:cs="Calibri"/>
                <w:color w:val="000000"/>
                <w:kern w:val="0"/>
                <w:sz w:val="20"/>
                <w:szCs w:val="20"/>
                <w14:ligatures w14:val="none"/>
              </w:rPr>
              <w:t xml:space="preserve">first </w:t>
            </w:r>
            <w:r w:rsidRPr="002D6A40">
              <w:rPr>
                <w:rFonts w:ascii="Calibri" w:eastAsia="Times New Roman" w:hAnsi="Calibri" w:cs="Calibri"/>
                <w:color w:val="000000"/>
                <w:kern w:val="0"/>
                <w:sz w:val="20"/>
                <w:szCs w:val="20"/>
                <w14:ligatures w14:val="none"/>
              </w:rPr>
              <w:t xml:space="preserve">level </w:t>
            </w:r>
            <w:r>
              <w:rPr>
                <w:rFonts w:ascii="Calibri" w:eastAsia="Times New Roman" w:hAnsi="Calibri" w:cs="Calibri"/>
                <w:color w:val="000000"/>
                <w:kern w:val="0"/>
                <w:sz w:val="20"/>
                <w:szCs w:val="20"/>
                <w14:ligatures w14:val="none"/>
              </w:rPr>
              <w:t>3</w:t>
            </w:r>
            <w:r w:rsidRPr="002D6A40">
              <w:rPr>
                <w:rFonts w:ascii="Calibri" w:eastAsia="Times New Roman" w:hAnsi="Calibri" w:cs="Calibri"/>
                <w:color w:val="000000"/>
                <w:kern w:val="0"/>
                <w:sz w:val="20"/>
                <w:szCs w:val="20"/>
                <w14:ligatures w14:val="none"/>
              </w:rPr>
              <w:t>&gt; only. See Z072 for p</w:t>
            </w:r>
            <w:r>
              <w:rPr>
                <w:rFonts w:ascii="Calibri" w:eastAsia="Times New Roman" w:hAnsi="Calibri" w:cs="Calibri"/>
                <w:color w:val="000000"/>
                <w:kern w:val="0"/>
                <w:sz w:val="20"/>
                <w:szCs w:val="20"/>
                <w14:ligatures w14:val="none"/>
              </w:rPr>
              <w:t>r</w:t>
            </w:r>
            <w:r w:rsidRPr="002D6A40">
              <w:rPr>
                <w:rFonts w:ascii="Calibri" w:eastAsia="Times New Roman" w:hAnsi="Calibri" w:cs="Calibri"/>
                <w:color w:val="000000"/>
                <w:kern w:val="0"/>
                <w:sz w:val="20"/>
                <w:szCs w:val="20"/>
                <w14:ligatures w14:val="none"/>
              </w:rPr>
              <w:t>oposed wording.</w:t>
            </w:r>
          </w:p>
        </w:tc>
        <w:tc>
          <w:tcPr>
            <w:tcW w:w="1109" w:type="dxa"/>
          </w:tcPr>
          <w:p w14:paraId="4780FDD9"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A97487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55A1EBA0" w14:textId="77777777" w:rsidTr="00FA6B67">
        <w:trPr>
          <w:tblHeader/>
        </w:trPr>
        <w:tc>
          <w:tcPr>
            <w:tcW w:w="700" w:type="dxa"/>
            <w:shd w:val="clear" w:color="auto" w:fill="auto"/>
            <w:noWrap/>
            <w:hideMark/>
          </w:tcPr>
          <w:p w14:paraId="18E05BB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C003</w:t>
            </w:r>
          </w:p>
        </w:tc>
        <w:tc>
          <w:tcPr>
            <w:tcW w:w="630" w:type="dxa"/>
            <w:shd w:val="clear" w:color="auto" w:fill="auto"/>
            <w:noWrap/>
            <w:hideMark/>
          </w:tcPr>
          <w:p w14:paraId="722B7430"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0815472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It’s not clear whether UE still considers “UE has flight path information available”, in case all upcoming waypoints that were previously provided are being removed</w:t>
            </w:r>
          </w:p>
        </w:tc>
        <w:tc>
          <w:tcPr>
            <w:tcW w:w="11160" w:type="dxa"/>
            <w:shd w:val="clear" w:color="auto" w:fill="auto"/>
            <w:hideMark/>
          </w:tcPr>
          <w:p w14:paraId="33587F5C"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add a Note after NOTE0c. NOTE: UE still considers “UE has flight path information available</w:t>
            </w:r>
            <w:proofErr w:type="gramStart"/>
            <w:r w:rsidRPr="002D6A40">
              <w:rPr>
                <w:rFonts w:ascii="Calibri" w:eastAsia="Times New Roman" w:hAnsi="Calibri" w:cs="Calibri"/>
                <w:color w:val="000000"/>
                <w:kern w:val="0"/>
                <w:sz w:val="20"/>
                <w:szCs w:val="20"/>
                <w14:ligatures w14:val="none"/>
              </w:rPr>
              <w:t>”, in case</w:t>
            </w:r>
            <w:proofErr w:type="gramEnd"/>
            <w:r w:rsidRPr="002D6A40">
              <w:rPr>
                <w:rFonts w:ascii="Calibri" w:eastAsia="Times New Roman" w:hAnsi="Calibri" w:cs="Calibri"/>
                <w:color w:val="000000"/>
                <w:kern w:val="0"/>
                <w:sz w:val="20"/>
                <w:szCs w:val="20"/>
                <w14:ligatures w14:val="none"/>
              </w:rPr>
              <w:t xml:space="preserve"> all upcoming waypoints that were previously provided are being removed. This RIL is also applicable to 5.3.7.5 and 5.7.4.2</w:t>
            </w:r>
          </w:p>
        </w:tc>
        <w:tc>
          <w:tcPr>
            <w:tcW w:w="8553" w:type="dxa"/>
            <w:shd w:val="clear" w:color="auto" w:fill="auto"/>
            <w:noWrap/>
            <w:hideMark/>
          </w:tcPr>
          <w:p w14:paraId="651AC97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Agree with the issue being raise. However, instead of adding another note, maybe it is more accurate to update the level 1&gt; condition as follows:</w:t>
            </w:r>
            <w:r w:rsidRPr="002D6A40">
              <w:rPr>
                <w:rFonts w:ascii="Calibri" w:eastAsia="Times New Roman" w:hAnsi="Calibri" w:cs="Calibri"/>
                <w:color w:val="000000"/>
                <w:kern w:val="0"/>
                <w:sz w:val="20"/>
                <w:szCs w:val="20"/>
                <w14:ligatures w14:val="none"/>
              </w:rPr>
              <w:br/>
              <w:t>2&gt; if the UE has (updated) flight path information available:</w:t>
            </w:r>
          </w:p>
        </w:tc>
        <w:tc>
          <w:tcPr>
            <w:tcW w:w="1109" w:type="dxa"/>
          </w:tcPr>
          <w:p w14:paraId="4FB06473"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D0A77C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1279ACAE" w14:textId="77777777" w:rsidTr="00FA6B67">
        <w:trPr>
          <w:tblHeader/>
        </w:trPr>
        <w:tc>
          <w:tcPr>
            <w:tcW w:w="700" w:type="dxa"/>
            <w:shd w:val="clear" w:color="auto" w:fill="auto"/>
            <w:noWrap/>
            <w:hideMark/>
          </w:tcPr>
          <w:p w14:paraId="3FD94D4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C004</w:t>
            </w:r>
          </w:p>
        </w:tc>
        <w:tc>
          <w:tcPr>
            <w:tcW w:w="630" w:type="dxa"/>
            <w:shd w:val="clear" w:color="auto" w:fill="auto"/>
            <w:noWrap/>
            <w:hideMark/>
          </w:tcPr>
          <w:p w14:paraId="0E75F203"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5DD21B6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 case flightPathUpdateDistanceThr is set to zero, the “equal to” condition means UE needs to report flightPathInfoAvailable even if there is no update of flight path information. This RIL is also applicable to 5.3.7.5 and 5.7.4.2</w:t>
            </w:r>
          </w:p>
        </w:tc>
        <w:tc>
          <w:tcPr>
            <w:tcW w:w="11160" w:type="dxa"/>
            <w:shd w:val="clear" w:color="auto" w:fill="auto"/>
            <w:hideMark/>
          </w:tcPr>
          <w:p w14:paraId="6073299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“or equal to”</w:t>
            </w:r>
          </w:p>
        </w:tc>
        <w:tc>
          <w:tcPr>
            <w:tcW w:w="8553" w:type="dxa"/>
            <w:shd w:val="clear" w:color="auto" w:fill="auto"/>
            <w:noWrap/>
            <w:hideMark/>
          </w:tcPr>
          <w:p w14:paraId="3D0F95D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makes sense. Will capture in rapp CR</w:t>
            </w:r>
          </w:p>
        </w:tc>
        <w:tc>
          <w:tcPr>
            <w:tcW w:w="1109" w:type="dxa"/>
          </w:tcPr>
          <w:p w14:paraId="19F543D6"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7138289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75B11D25" w14:textId="77777777" w:rsidTr="00FA6B67">
        <w:trPr>
          <w:tblHeader/>
        </w:trPr>
        <w:tc>
          <w:tcPr>
            <w:tcW w:w="700" w:type="dxa"/>
            <w:shd w:val="clear" w:color="auto" w:fill="auto"/>
            <w:noWrap/>
            <w:hideMark/>
          </w:tcPr>
          <w:p w14:paraId="60E24CE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V822</w:t>
            </w:r>
          </w:p>
        </w:tc>
        <w:tc>
          <w:tcPr>
            <w:tcW w:w="630" w:type="dxa"/>
            <w:shd w:val="clear" w:color="auto" w:fill="auto"/>
            <w:noWrap/>
            <w:hideMark/>
          </w:tcPr>
          <w:p w14:paraId="64AC1A05"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396F1A3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The case that the timestamp was not previously provided should be divergent from to whether flightPathUpdateTimeThr is configured.</w:t>
            </w:r>
          </w:p>
        </w:tc>
        <w:tc>
          <w:tcPr>
            <w:tcW w:w="11160" w:type="dxa"/>
            <w:shd w:val="clear" w:color="auto" w:fill="auto"/>
            <w:hideMark/>
          </w:tcPr>
          <w:p w14:paraId="764CA49C"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“the timestamp was not previously provided but is now available, or” in this clause; and modfiy the second branch of 3&gt; as: “3&gt; if at least one waypoint or at least one timestamp of a waypoint was not previously provided; or”</w:t>
            </w:r>
          </w:p>
        </w:tc>
        <w:tc>
          <w:tcPr>
            <w:tcW w:w="8553" w:type="dxa"/>
            <w:shd w:val="clear" w:color="auto" w:fill="auto"/>
            <w:noWrap/>
            <w:hideMark/>
          </w:tcPr>
          <w:p w14:paraId="7553FA9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comment makes sense. Inclined to go according to suggestion but it also impacts Z074. So final wording to be polished. See Z074 for proposed wording.</w:t>
            </w:r>
          </w:p>
        </w:tc>
        <w:tc>
          <w:tcPr>
            <w:tcW w:w="1109" w:type="dxa"/>
          </w:tcPr>
          <w:p w14:paraId="31C07D4B"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4093806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4C26E179" w14:textId="77777777" w:rsidTr="00FA6B67">
        <w:trPr>
          <w:tblHeader/>
        </w:trPr>
        <w:tc>
          <w:tcPr>
            <w:tcW w:w="700" w:type="dxa"/>
            <w:shd w:val="clear" w:color="auto" w:fill="auto"/>
            <w:noWrap/>
            <w:hideMark/>
          </w:tcPr>
          <w:p w14:paraId="26B803B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Z072</w:t>
            </w:r>
          </w:p>
        </w:tc>
        <w:tc>
          <w:tcPr>
            <w:tcW w:w="630" w:type="dxa"/>
            <w:shd w:val="clear" w:color="auto" w:fill="auto"/>
            <w:noWrap/>
            <w:hideMark/>
          </w:tcPr>
          <w:p w14:paraId="7C732CEA"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98EF80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The case that the timestamp is previously provided but is now no removed is </w:t>
            </w:r>
            <w:proofErr w:type="gramStart"/>
            <w:r w:rsidRPr="002D6A40">
              <w:rPr>
                <w:rFonts w:ascii="Calibri" w:eastAsia="Times New Roman" w:hAnsi="Calibri" w:cs="Calibri"/>
                <w:color w:val="000000"/>
                <w:kern w:val="0"/>
                <w:sz w:val="20"/>
                <w:szCs w:val="20"/>
                <w14:ligatures w14:val="none"/>
              </w:rPr>
              <w:t>missing.We</w:t>
            </w:r>
            <w:proofErr w:type="gramEnd"/>
            <w:r w:rsidRPr="002D6A40">
              <w:rPr>
                <w:rFonts w:ascii="Calibri" w:eastAsia="Times New Roman" w:hAnsi="Calibri" w:cs="Calibri"/>
                <w:color w:val="000000"/>
                <w:kern w:val="0"/>
                <w:sz w:val="20"/>
                <w:szCs w:val="20"/>
                <w14:ligatures w14:val="none"/>
              </w:rPr>
              <w:t xml:space="preserve"> think the UE should also be able to indicate network in this case.</w:t>
            </w:r>
          </w:p>
        </w:tc>
        <w:tc>
          <w:tcPr>
            <w:tcW w:w="11160" w:type="dxa"/>
            <w:shd w:val="clear" w:color="auto" w:fill="auto"/>
            <w:hideMark/>
          </w:tcPr>
          <w:p w14:paraId="2CCD26E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 add the above case: 3&gt; if flightPathUpdateTimeThr is configured and for at least one waypoint, the timestamp was not previously provided but is now available, or the timestamp was previously provided but is now removed, or the time between the previously provided timestamp and the new timestamp, if available, is more than or equal to the time threshold configured by flightPathUpdateTimeThr:</w:t>
            </w:r>
          </w:p>
        </w:tc>
        <w:tc>
          <w:tcPr>
            <w:tcW w:w="8553" w:type="dxa"/>
            <w:shd w:val="clear" w:color="auto" w:fill="auto"/>
            <w:noWrap/>
            <w:hideMark/>
          </w:tcPr>
          <w:p w14:paraId="5559BB3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t xml:space="preserve">QC as rapp: Agree with intent. </w:t>
            </w:r>
            <w:proofErr w:type="gramStart"/>
            <w:r>
              <w:t>Similar to</w:t>
            </w:r>
            <w:proofErr w:type="gramEnd"/>
            <w:r>
              <w:t xml:space="preserve"> V822, Z074, maybe it is better to update the level 3&gt; as follows: "3&gt; if at least one upcoming waypoint </w:t>
            </w:r>
            <w:r>
              <w:rPr>
                <w:color w:val="FF0000"/>
                <w:u w:val="single"/>
              </w:rPr>
              <w:t>or a timestamp corresponding to a waypoint location</w:t>
            </w:r>
            <w:r>
              <w:t xml:space="preserve"> that was previously provided </w:t>
            </w:r>
            <w:r>
              <w:rPr>
                <w:color w:val="FF0000"/>
                <w:u w:val="single"/>
              </w:rPr>
              <w:t>since last entering RRC_CONNECTED state</w:t>
            </w:r>
            <w:r>
              <w:t xml:space="preserve"> is being removed"</w:t>
            </w:r>
          </w:p>
        </w:tc>
        <w:tc>
          <w:tcPr>
            <w:tcW w:w="1109" w:type="dxa"/>
          </w:tcPr>
          <w:p w14:paraId="6E700445"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5A60BC5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74ED9AC2" w14:textId="77777777" w:rsidTr="00FA6B67">
        <w:trPr>
          <w:tblHeader/>
        </w:trPr>
        <w:tc>
          <w:tcPr>
            <w:tcW w:w="700" w:type="dxa"/>
            <w:shd w:val="clear" w:color="auto" w:fill="auto"/>
            <w:noWrap/>
            <w:hideMark/>
          </w:tcPr>
          <w:p w14:paraId="0AA4C6D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W012</w:t>
            </w:r>
          </w:p>
        </w:tc>
        <w:tc>
          <w:tcPr>
            <w:tcW w:w="630" w:type="dxa"/>
            <w:shd w:val="clear" w:color="auto" w:fill="auto"/>
            <w:noWrap/>
            <w:hideMark/>
          </w:tcPr>
          <w:p w14:paraId="6E6BC398"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373B9A9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Capture the time deviation as “time difference”.</w:t>
            </w:r>
          </w:p>
        </w:tc>
        <w:tc>
          <w:tcPr>
            <w:tcW w:w="11160" w:type="dxa"/>
            <w:shd w:val="clear" w:color="auto" w:fill="auto"/>
            <w:hideMark/>
          </w:tcPr>
          <w:p w14:paraId="04A6CD8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We understand the intention is to compare the time deviation and the threshold indicated by flightPathUpdateTimeThr. It will be clearer to change “time” to “time difference”.</w:t>
            </w:r>
          </w:p>
        </w:tc>
        <w:tc>
          <w:tcPr>
            <w:tcW w:w="8553" w:type="dxa"/>
            <w:shd w:val="clear" w:color="auto" w:fill="auto"/>
            <w:noWrap/>
            <w:hideMark/>
          </w:tcPr>
          <w:p w14:paraId="0E26934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Agree</w:t>
            </w:r>
          </w:p>
        </w:tc>
        <w:tc>
          <w:tcPr>
            <w:tcW w:w="1109" w:type="dxa"/>
          </w:tcPr>
          <w:p w14:paraId="78EBB95E"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0633310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4011B510" w14:textId="77777777" w:rsidTr="00FA6B67">
        <w:trPr>
          <w:tblHeader/>
        </w:trPr>
        <w:tc>
          <w:tcPr>
            <w:tcW w:w="700" w:type="dxa"/>
            <w:shd w:val="clear" w:color="auto" w:fill="auto"/>
            <w:noWrap/>
            <w:hideMark/>
          </w:tcPr>
          <w:p w14:paraId="5A56F8E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C005</w:t>
            </w:r>
          </w:p>
        </w:tc>
        <w:tc>
          <w:tcPr>
            <w:tcW w:w="630" w:type="dxa"/>
            <w:shd w:val="clear" w:color="auto" w:fill="auto"/>
            <w:noWrap/>
            <w:hideMark/>
          </w:tcPr>
          <w:p w14:paraId="55980D56"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45447E6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 case flightPathUpdateTimeThr is set to zero, the “equal to” condition means UE needs to report flightPathInfoAvailable even if there is no update of flight path information. This RIL is also applicable to 5.3.7.5 and 5.7.4.2</w:t>
            </w:r>
          </w:p>
        </w:tc>
        <w:tc>
          <w:tcPr>
            <w:tcW w:w="11160" w:type="dxa"/>
            <w:shd w:val="clear" w:color="auto" w:fill="auto"/>
            <w:hideMark/>
          </w:tcPr>
          <w:p w14:paraId="6FB1E6F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“or equal to”</w:t>
            </w:r>
          </w:p>
        </w:tc>
        <w:tc>
          <w:tcPr>
            <w:tcW w:w="8553" w:type="dxa"/>
            <w:shd w:val="clear" w:color="auto" w:fill="auto"/>
            <w:noWrap/>
            <w:hideMark/>
          </w:tcPr>
          <w:p w14:paraId="16F5AE3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Agree. </w:t>
            </w:r>
            <w:proofErr w:type="gramStart"/>
            <w:r w:rsidRPr="002D6A40">
              <w:rPr>
                <w:rFonts w:ascii="Calibri" w:eastAsia="Times New Roman" w:hAnsi="Calibri" w:cs="Calibri"/>
                <w:color w:val="000000"/>
                <w:kern w:val="0"/>
                <w:sz w:val="20"/>
                <w:szCs w:val="20"/>
                <w14:ligatures w14:val="none"/>
              </w:rPr>
              <w:t>similar to</w:t>
            </w:r>
            <w:proofErr w:type="gramEnd"/>
            <w:r w:rsidRPr="002D6A40">
              <w:rPr>
                <w:rFonts w:ascii="Calibri" w:eastAsia="Times New Roman" w:hAnsi="Calibri" w:cs="Calibri"/>
                <w:color w:val="000000"/>
                <w:kern w:val="0"/>
                <w:sz w:val="20"/>
                <w:szCs w:val="20"/>
                <w14:ligatures w14:val="none"/>
              </w:rPr>
              <w:t xml:space="preserve"> C004</w:t>
            </w:r>
          </w:p>
        </w:tc>
        <w:tc>
          <w:tcPr>
            <w:tcW w:w="1109" w:type="dxa"/>
          </w:tcPr>
          <w:p w14:paraId="6A29B884"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5D988AC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7316634A" w14:textId="77777777" w:rsidTr="00FA6B67">
        <w:trPr>
          <w:tblHeader/>
        </w:trPr>
        <w:tc>
          <w:tcPr>
            <w:tcW w:w="700" w:type="dxa"/>
            <w:shd w:val="clear" w:color="auto" w:fill="auto"/>
            <w:noWrap/>
            <w:hideMark/>
          </w:tcPr>
          <w:p w14:paraId="025BF17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W013</w:t>
            </w:r>
          </w:p>
        </w:tc>
        <w:tc>
          <w:tcPr>
            <w:tcW w:w="630" w:type="dxa"/>
            <w:shd w:val="clear" w:color="auto" w:fill="auto"/>
            <w:noWrap/>
            <w:hideMark/>
          </w:tcPr>
          <w:p w14:paraId="1C4A5298"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A4F633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Capture the time deviation as “time difference”.</w:t>
            </w:r>
          </w:p>
        </w:tc>
        <w:tc>
          <w:tcPr>
            <w:tcW w:w="11160" w:type="dxa"/>
            <w:shd w:val="clear" w:color="auto" w:fill="auto"/>
            <w:hideMark/>
          </w:tcPr>
          <w:p w14:paraId="029D34B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We understand the intention is to compare the time deviation and the threshold indicated by flightPathUpdateTimeThr. It will be clearer to change “time” to “time difference”.</w:t>
            </w:r>
          </w:p>
        </w:tc>
        <w:tc>
          <w:tcPr>
            <w:tcW w:w="8553" w:type="dxa"/>
            <w:shd w:val="clear" w:color="auto" w:fill="auto"/>
            <w:noWrap/>
            <w:hideMark/>
          </w:tcPr>
          <w:p w14:paraId="63FBB86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Same edits as 5.3.5.3 will be applied in general in 5.3.7.5</w:t>
            </w:r>
          </w:p>
        </w:tc>
        <w:tc>
          <w:tcPr>
            <w:tcW w:w="1109" w:type="dxa"/>
          </w:tcPr>
          <w:p w14:paraId="4ADF220A"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6D29AE7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39BB822" w14:textId="77777777" w:rsidTr="00FA6B67">
        <w:trPr>
          <w:tblHeader/>
        </w:trPr>
        <w:tc>
          <w:tcPr>
            <w:tcW w:w="700" w:type="dxa"/>
            <w:shd w:val="clear" w:color="auto" w:fill="auto"/>
            <w:noWrap/>
            <w:hideMark/>
          </w:tcPr>
          <w:p w14:paraId="3CEC154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E081</w:t>
            </w:r>
          </w:p>
        </w:tc>
        <w:tc>
          <w:tcPr>
            <w:tcW w:w="630" w:type="dxa"/>
            <w:shd w:val="clear" w:color="auto" w:fill="auto"/>
            <w:noWrap/>
            <w:hideMark/>
          </w:tcPr>
          <w:p w14:paraId="47F92753"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3C666F8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Event type is not defined. See also the below procedre for same thing.</w:t>
            </w:r>
          </w:p>
        </w:tc>
        <w:tc>
          <w:tcPr>
            <w:tcW w:w="11160" w:type="dxa"/>
            <w:shd w:val="clear" w:color="auto" w:fill="auto"/>
            <w:hideMark/>
          </w:tcPr>
          <w:p w14:paraId="40D12F6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Use events of same name or other better description what does same type consist of</w:t>
            </w:r>
          </w:p>
        </w:tc>
        <w:tc>
          <w:tcPr>
            <w:tcW w:w="8553" w:type="dxa"/>
            <w:shd w:val="clear" w:color="auto" w:fill="auto"/>
            <w:noWrap/>
            <w:hideMark/>
          </w:tcPr>
          <w:p w14:paraId="3413BC4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agree with comment. Updating to 'for all the events with the same eventID for which' should be clear. Will capture in the CR.</w:t>
            </w:r>
          </w:p>
        </w:tc>
        <w:tc>
          <w:tcPr>
            <w:tcW w:w="1109" w:type="dxa"/>
          </w:tcPr>
          <w:p w14:paraId="742B15C2"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3EE9A2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A47CE1D" w14:textId="77777777" w:rsidTr="00FA6B67">
        <w:trPr>
          <w:tblHeader/>
        </w:trPr>
        <w:tc>
          <w:tcPr>
            <w:tcW w:w="700" w:type="dxa"/>
            <w:shd w:val="clear" w:color="auto" w:fill="auto"/>
            <w:noWrap/>
            <w:hideMark/>
          </w:tcPr>
          <w:p w14:paraId="67F3C98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C008</w:t>
            </w:r>
          </w:p>
        </w:tc>
        <w:tc>
          <w:tcPr>
            <w:tcW w:w="630" w:type="dxa"/>
            <w:shd w:val="clear" w:color="auto" w:fill="auto"/>
            <w:noWrap/>
            <w:hideMark/>
          </w:tcPr>
          <w:p w14:paraId="0E86ACA4"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5F99C15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current descriptin of “smallest value between the altitude of the UE and the corresponding altitude threshold” is confusing.</w:t>
            </w:r>
          </w:p>
        </w:tc>
        <w:tc>
          <w:tcPr>
            <w:tcW w:w="11160" w:type="dxa"/>
            <w:shd w:val="clear" w:color="auto" w:fill="auto"/>
            <w:hideMark/>
          </w:tcPr>
          <w:p w14:paraId="289AA4BC"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update the sentence to “6&gt; consider only the event for which the difference between the altitude of the UE and the configured altitude threshold is the smallest to be applicable;”</w:t>
            </w:r>
          </w:p>
        </w:tc>
        <w:tc>
          <w:tcPr>
            <w:tcW w:w="8553" w:type="dxa"/>
            <w:shd w:val="clear" w:color="auto" w:fill="auto"/>
            <w:noWrap/>
            <w:hideMark/>
          </w:tcPr>
          <w:p w14:paraId="4FAE856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Ok. I will capture this in the CR.</w:t>
            </w:r>
          </w:p>
        </w:tc>
        <w:tc>
          <w:tcPr>
            <w:tcW w:w="1109" w:type="dxa"/>
          </w:tcPr>
          <w:p w14:paraId="753FC635"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2AA3D5A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28277506" w14:textId="77777777" w:rsidTr="00FA6B67">
        <w:trPr>
          <w:tblHeader/>
        </w:trPr>
        <w:tc>
          <w:tcPr>
            <w:tcW w:w="700" w:type="dxa"/>
            <w:shd w:val="clear" w:color="auto" w:fill="auto"/>
            <w:noWrap/>
            <w:hideMark/>
          </w:tcPr>
          <w:p w14:paraId="5FBB310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H745</w:t>
            </w:r>
          </w:p>
        </w:tc>
        <w:tc>
          <w:tcPr>
            <w:tcW w:w="630" w:type="dxa"/>
            <w:shd w:val="clear" w:color="auto" w:fill="auto"/>
            <w:noWrap/>
            <w:hideMark/>
          </w:tcPr>
          <w:p w14:paraId="2B55F653"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1BD79AE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For the event AxHy, if the UE height fullfills the leaving condition, the concerned cell needs to remove from the cellsTriggeredList. However, H event does not need to take layer 3 filter.</w:t>
            </w:r>
          </w:p>
        </w:tc>
        <w:tc>
          <w:tcPr>
            <w:tcW w:w="11160" w:type="dxa"/>
            <w:shd w:val="clear" w:color="auto" w:fill="auto"/>
            <w:hideMark/>
          </w:tcPr>
          <w:p w14:paraId="395D839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to “if the reportType is set to eventTriggered and if the leaving condition applicable for this event is fulfilled for one or more of the cells included in the cellsTriggeredList defined within the VarMeasReportList for this measId for the UE’s altitude or for all measurements after layer 3 filtering taken during timeToTrigger defined within the VarMeasConfig for this event:”</w:t>
            </w:r>
          </w:p>
        </w:tc>
        <w:tc>
          <w:tcPr>
            <w:tcW w:w="8553" w:type="dxa"/>
            <w:shd w:val="clear" w:color="auto" w:fill="auto"/>
            <w:noWrap/>
            <w:hideMark/>
          </w:tcPr>
          <w:p w14:paraId="538D9670"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tend to agree with intent. However, 5.5.3.1 says layer 3 filtering applies only to cell measurements (except a few things) and "For cell measurements, the network can configure RSRP, RSRQ, SINR, RSCP or EcN0 as trigger quantity." From this, I was deducing that layer-3 doesn't apply to altitude. But if the companies view is that there is still confusion, perhaps it is better to change as "... after layer 3 filtering, if applicable, taken during..." Or second option is to capture in 5.5.3.1 for altitude </w:t>
            </w:r>
            <w:proofErr w:type="gramStart"/>
            <w:r w:rsidRPr="002D6A40">
              <w:rPr>
                <w:rFonts w:ascii="Calibri" w:eastAsia="Times New Roman" w:hAnsi="Calibri" w:cs="Calibri"/>
                <w:color w:val="000000"/>
                <w:kern w:val="0"/>
                <w:sz w:val="20"/>
                <w:szCs w:val="20"/>
                <w14:ligatures w14:val="none"/>
              </w:rPr>
              <w:t>similar to</w:t>
            </w:r>
            <w:proofErr w:type="gramEnd"/>
            <w:r w:rsidRPr="002D6A40">
              <w:rPr>
                <w:rFonts w:ascii="Calibri" w:eastAsia="Times New Roman" w:hAnsi="Calibri" w:cs="Calibri"/>
                <w:color w:val="000000"/>
                <w:kern w:val="0"/>
                <w:sz w:val="20"/>
                <w:szCs w:val="20"/>
                <w14:ligatures w14:val="none"/>
              </w:rPr>
              <w:t xml:space="preserve"> what is captured for Rx-Tx time diff. "The UE does not apply the layer 3 filtering as specified in 5.5.3.2 to derive the altitude measurements." I slightly prefer the second option as the first option may be seen as impacting legacy text. Comments welcome.</w:t>
            </w:r>
          </w:p>
          <w:p w14:paraId="79D1201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QC v224: will capture second option in the CR</w:t>
            </w:r>
          </w:p>
        </w:tc>
        <w:tc>
          <w:tcPr>
            <w:tcW w:w="1109" w:type="dxa"/>
          </w:tcPr>
          <w:p w14:paraId="66C86D7D"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21D468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0FB8973B" w14:textId="77777777" w:rsidTr="00FA6B67">
        <w:trPr>
          <w:tblHeader/>
        </w:trPr>
        <w:tc>
          <w:tcPr>
            <w:tcW w:w="700" w:type="dxa"/>
            <w:shd w:val="clear" w:color="auto" w:fill="auto"/>
            <w:noWrap/>
            <w:hideMark/>
          </w:tcPr>
          <w:p w14:paraId="0CC121B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H059</w:t>
            </w:r>
          </w:p>
        </w:tc>
        <w:tc>
          <w:tcPr>
            <w:tcW w:w="630" w:type="dxa"/>
            <w:shd w:val="clear" w:color="auto" w:fill="auto"/>
            <w:noWrap/>
            <w:hideMark/>
          </w:tcPr>
          <w:p w14:paraId="6836A48B"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1353648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 R18 TEI, RAN2 introduced cellIndividualOffset in reportConfig, however this was implemented only to events defined in R17 and earlier release, not in R18 new events</w:t>
            </w:r>
          </w:p>
        </w:tc>
        <w:tc>
          <w:tcPr>
            <w:tcW w:w="11160" w:type="dxa"/>
            <w:shd w:val="clear" w:color="auto" w:fill="auto"/>
            <w:hideMark/>
          </w:tcPr>
          <w:p w14:paraId="014373F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 the description of Event A3H1 Event A5H2:  Ocn is the cell specific offset of the neighbour cell (i.e. cellIndividualOffset as defined within measObjectNR corresponding to the frequency of the neighbour cell, or cellIndividualOffset as defined within reportConfigNR), and set to zero if not configured for the neighbour cell.</w:t>
            </w:r>
          </w:p>
        </w:tc>
        <w:tc>
          <w:tcPr>
            <w:tcW w:w="8553" w:type="dxa"/>
            <w:shd w:val="clear" w:color="auto" w:fill="auto"/>
            <w:noWrap/>
            <w:hideMark/>
          </w:tcPr>
          <w:p w14:paraId="13C3BE8B"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ZTE (LiuJing): Agree with the proposal, and this is already supported from ASN.1 point of view. </w:t>
            </w:r>
          </w:p>
          <w:p w14:paraId="577193B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UAV CR rapp: Agree with intent. Will capture in the CR.</w:t>
            </w:r>
          </w:p>
        </w:tc>
        <w:tc>
          <w:tcPr>
            <w:tcW w:w="1109" w:type="dxa"/>
          </w:tcPr>
          <w:p w14:paraId="3B3DBCAC"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4A7BF02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105B401F" w14:textId="77777777" w:rsidTr="00FA6B67">
        <w:trPr>
          <w:tblHeader/>
        </w:trPr>
        <w:tc>
          <w:tcPr>
            <w:tcW w:w="700" w:type="dxa"/>
            <w:shd w:val="clear" w:color="auto" w:fill="auto"/>
            <w:noWrap/>
            <w:hideMark/>
          </w:tcPr>
          <w:p w14:paraId="378E797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C009</w:t>
            </w:r>
          </w:p>
        </w:tc>
        <w:tc>
          <w:tcPr>
            <w:tcW w:w="630" w:type="dxa"/>
            <w:shd w:val="clear" w:color="auto" w:fill="auto"/>
            <w:noWrap/>
            <w:hideMark/>
          </w:tcPr>
          <w:p w14:paraId="6FD6AB8F"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19808B4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includeAltitudeUE is a mandatory BOOLEAN field for event Hx and AxHy. The intention here should be “set to true” instead of “configured”</w:t>
            </w:r>
          </w:p>
        </w:tc>
        <w:tc>
          <w:tcPr>
            <w:tcW w:w="11160" w:type="dxa"/>
            <w:shd w:val="clear" w:color="auto" w:fill="auto"/>
            <w:hideMark/>
          </w:tcPr>
          <w:p w14:paraId="736C063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“configured” to “set to true”</w:t>
            </w:r>
          </w:p>
        </w:tc>
        <w:tc>
          <w:tcPr>
            <w:tcW w:w="8553" w:type="dxa"/>
            <w:shd w:val="clear" w:color="auto" w:fill="auto"/>
            <w:noWrap/>
            <w:hideMark/>
          </w:tcPr>
          <w:p w14:paraId="123793F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Agree. I can capture this in the CR. However, note also this was copied from "if the includeCommonLocationInfo is configured".</w:t>
            </w:r>
          </w:p>
        </w:tc>
        <w:tc>
          <w:tcPr>
            <w:tcW w:w="1109" w:type="dxa"/>
          </w:tcPr>
          <w:p w14:paraId="79347439"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6C5B947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1A9C17F" w14:textId="77777777" w:rsidTr="00FA6B67">
        <w:trPr>
          <w:tblHeader/>
        </w:trPr>
        <w:tc>
          <w:tcPr>
            <w:tcW w:w="700" w:type="dxa"/>
            <w:shd w:val="clear" w:color="auto" w:fill="auto"/>
            <w:noWrap/>
            <w:hideMark/>
          </w:tcPr>
          <w:p w14:paraId="17B7A33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J065</w:t>
            </w:r>
          </w:p>
        </w:tc>
        <w:tc>
          <w:tcPr>
            <w:tcW w:w="630" w:type="dxa"/>
            <w:shd w:val="clear" w:color="auto" w:fill="auto"/>
            <w:noWrap/>
            <w:hideMark/>
          </w:tcPr>
          <w:p w14:paraId="7AFDCA39"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7543EAF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UE should check whether “the availability of flight path information” has been sent.</w:t>
            </w:r>
          </w:p>
        </w:tc>
        <w:tc>
          <w:tcPr>
            <w:tcW w:w="11160" w:type="dxa"/>
            <w:shd w:val="clear" w:color="auto" w:fill="auto"/>
            <w:hideMark/>
          </w:tcPr>
          <w:p w14:paraId="4999BBC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In our understanding, “flight path information” means flight path information report in UEInformationResponse. Since the UE is configured to indicate the availability, it should check whether the availability has been sent, else before UE sending flight path report (need to wait gNB’s request), the UE may trigger UAI again.  Suggest </w:t>
            </w:r>
            <w:proofErr w:type="gramStart"/>
            <w:r w:rsidRPr="002D6A40">
              <w:rPr>
                <w:rFonts w:ascii="Calibri" w:eastAsia="Times New Roman" w:hAnsi="Calibri" w:cs="Calibri"/>
                <w:color w:val="000000"/>
                <w:kern w:val="0"/>
                <w:sz w:val="20"/>
                <w:szCs w:val="20"/>
                <w14:ligatures w14:val="none"/>
              </w:rPr>
              <w:t>to change</w:t>
            </w:r>
            <w:proofErr w:type="gramEnd"/>
            <w:r w:rsidRPr="002D6A40">
              <w:rPr>
                <w:rFonts w:ascii="Calibri" w:eastAsia="Times New Roman" w:hAnsi="Calibri" w:cs="Calibri"/>
                <w:color w:val="000000"/>
                <w:kern w:val="0"/>
                <w:sz w:val="20"/>
                <w:szCs w:val="20"/>
                <w14:ligatures w14:val="none"/>
              </w:rPr>
              <w:t xml:space="preserve"> as below: 2&gt; if the UE had not previously provided a flight path information or the availability of flight path information since last entering RRC_CONNECTED state; or</w:t>
            </w:r>
          </w:p>
        </w:tc>
        <w:tc>
          <w:tcPr>
            <w:tcW w:w="8553" w:type="dxa"/>
            <w:shd w:val="clear" w:color="auto" w:fill="auto"/>
            <w:noWrap/>
            <w:hideMark/>
          </w:tcPr>
          <w:p w14:paraId="29C4B39B"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[Nokia – Jerediah] OK with this clarification of the behavior. This way, if the UE already provided the FPP availability indication, and the gNB ignored it, the UE will not send it again. </w:t>
            </w:r>
          </w:p>
          <w:p w14:paraId="7A2B08A3"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while in theory the argument is correct, similar situation exists for all other UAI indication. Further, doing the update as proposed creates a situation where the UE cannot send any further updates indication if an indication was </w:t>
            </w:r>
            <w:proofErr w:type="gramStart"/>
            <w:r w:rsidRPr="002D6A40">
              <w:rPr>
                <w:rFonts w:ascii="Calibri" w:eastAsia="Times New Roman" w:hAnsi="Calibri" w:cs="Calibri"/>
                <w:color w:val="000000"/>
                <w:kern w:val="0"/>
                <w:sz w:val="20"/>
                <w:szCs w:val="20"/>
                <w14:ligatures w14:val="none"/>
              </w:rPr>
              <w:t>sent</w:t>
            </w:r>
            <w:proofErr w:type="gramEnd"/>
            <w:r w:rsidRPr="002D6A40">
              <w:rPr>
                <w:rFonts w:ascii="Calibri" w:eastAsia="Times New Roman" w:hAnsi="Calibri" w:cs="Calibri"/>
                <w:color w:val="000000"/>
                <w:kern w:val="0"/>
                <w:sz w:val="20"/>
                <w:szCs w:val="20"/>
                <w14:ligatures w14:val="none"/>
              </w:rPr>
              <w:t xml:space="preserve"> and network fetched the FP and now further update is available since the last time it went to RRC_CONN (i.e. for the second time). Suggest PropReject. PS: the other changes that are being discussed in 5.3.5.3 will be applied here as well.</w:t>
            </w:r>
          </w:p>
          <w:p w14:paraId="5FF7526B" w14:textId="77777777" w:rsidR="001D3D68" w:rsidRPr="009F53B9" w:rsidRDefault="001D3D68" w:rsidP="0034642D">
            <w:pPr>
              <w:pStyle w:val="CommentText"/>
              <w:rPr>
                <w:rFonts w:asciiTheme="majorHAnsi" w:eastAsia="PMingLiU" w:hAnsiTheme="majorHAnsi" w:cstheme="majorHAnsi"/>
                <w:kern w:val="0"/>
                <w:lang w:eastAsia="zh-TW"/>
                <w14:ligatures w14:val="none"/>
              </w:rPr>
            </w:pPr>
            <w:r w:rsidRPr="009F53B9">
              <w:rPr>
                <w:rFonts w:eastAsia="PMingLiU" w:cs="Times New Roman"/>
                <w:kern w:val="0"/>
                <w:lang w:eastAsia="zh-TW"/>
                <w14:ligatures w14:val="none"/>
              </w:rPr>
              <w:t xml:space="preserve">QC v224: </w:t>
            </w:r>
            <w:r w:rsidRPr="009F53B9">
              <w:rPr>
                <w:rFonts w:asciiTheme="majorHAnsi" w:eastAsia="PMingLiU" w:hAnsiTheme="majorHAnsi" w:cstheme="majorHAnsi"/>
                <w:kern w:val="0"/>
                <w:lang w:eastAsia="zh-TW"/>
                <w14:ligatures w14:val="none"/>
              </w:rPr>
              <w:t xml:space="preserve">after further thought and offline discussion, updated as follows: </w:t>
            </w:r>
          </w:p>
          <w:p w14:paraId="2E21C0C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9F53B9">
              <w:rPr>
                <w:rFonts w:asciiTheme="majorHAnsi" w:eastAsia="Times New Roman" w:hAnsiTheme="majorHAnsi" w:cstheme="majorHAnsi"/>
                <w:kern w:val="0"/>
                <w:lang w:val="fi-FI"/>
                <w14:ligatures w14:val="none"/>
              </w:rPr>
              <w:t xml:space="preserve">2&gt; if the UE had </w:t>
            </w:r>
            <w:r w:rsidRPr="009F53B9">
              <w:rPr>
                <w:rFonts w:asciiTheme="majorHAnsi" w:eastAsia="Times New Roman" w:hAnsiTheme="majorHAnsi" w:cstheme="majorHAnsi"/>
                <w:strike/>
                <w:color w:val="FF0000"/>
                <w:kern w:val="0"/>
                <w:lang w:val="fi-FI"/>
                <w14:ligatures w14:val="none"/>
              </w:rPr>
              <w:t>not previously</w:t>
            </w:r>
            <w:r w:rsidRPr="009F53B9">
              <w:rPr>
                <w:rFonts w:asciiTheme="majorHAnsi" w:eastAsia="Times New Roman" w:hAnsiTheme="majorHAnsi" w:cstheme="majorHAnsi"/>
                <w:kern w:val="0"/>
                <w:lang w:val="fi-FI"/>
                <w14:ligatures w14:val="none"/>
              </w:rPr>
              <w:t xml:space="preserve"> </w:t>
            </w:r>
            <w:r w:rsidRPr="009F53B9">
              <w:rPr>
                <w:rFonts w:asciiTheme="majorHAnsi" w:eastAsia="Times New Roman" w:hAnsiTheme="majorHAnsi" w:cstheme="majorHAnsi"/>
                <w:kern w:val="0"/>
                <w:highlight w:val="magenta"/>
                <w:u w:val="single"/>
                <w:lang w:val="fi-FI"/>
                <w14:ligatures w14:val="none"/>
              </w:rPr>
              <w:t>neither</w:t>
            </w:r>
            <w:r w:rsidRPr="009F53B9">
              <w:rPr>
                <w:rFonts w:asciiTheme="majorHAnsi" w:eastAsia="Times New Roman" w:hAnsiTheme="majorHAnsi" w:cstheme="majorHAnsi"/>
                <w:kern w:val="0"/>
                <w:lang w:val="fi-FI"/>
                <w14:ligatures w14:val="none"/>
              </w:rPr>
              <w:t xml:space="preserve"> provided a flight path information </w:t>
            </w:r>
            <w:r w:rsidRPr="009F53B9">
              <w:rPr>
                <w:rFonts w:asciiTheme="majorHAnsi" w:eastAsia="Times New Roman" w:hAnsiTheme="majorHAnsi" w:cstheme="majorHAnsi"/>
                <w:kern w:val="0"/>
                <w:highlight w:val="magenta"/>
                <w:u w:val="single"/>
                <w:lang w:val="fi-FI"/>
                <w14:ligatures w14:val="none"/>
              </w:rPr>
              <w:t>nor indicated</w:t>
            </w:r>
            <w:r w:rsidRPr="009F53B9">
              <w:rPr>
                <w:rFonts w:asciiTheme="majorHAnsi" w:eastAsia="Times New Roman" w:hAnsiTheme="majorHAnsi" w:cstheme="majorHAnsi"/>
                <w:kern w:val="0"/>
                <w:u w:val="single"/>
                <w:lang w:val="fi-FI"/>
                <w14:ligatures w14:val="none"/>
              </w:rPr>
              <w:t xml:space="preserve"> </w:t>
            </w:r>
            <w:r w:rsidRPr="009F53B9">
              <w:rPr>
                <w:rFonts w:asciiTheme="majorHAnsi" w:eastAsia="Times New Roman" w:hAnsiTheme="majorHAnsi" w:cstheme="majorHAnsi"/>
                <w:color w:val="FF0000"/>
                <w:kern w:val="0"/>
                <w:u w:val="single"/>
                <w:lang w:val="fi-FI"/>
                <w14:ligatures w14:val="none"/>
              </w:rPr>
              <w:t>the availability of flight path information</w:t>
            </w:r>
            <w:r w:rsidRPr="009F53B9">
              <w:rPr>
                <w:rFonts w:asciiTheme="majorHAnsi" w:eastAsia="Times New Roman" w:hAnsiTheme="majorHAnsi" w:cstheme="majorHAnsi"/>
                <w:kern w:val="0"/>
                <w:lang w:val="fi-FI"/>
                <w14:ligatures w14:val="none"/>
              </w:rPr>
              <w:t xml:space="preserve"> since last entering RRC_CONNECTED state; or</w:t>
            </w:r>
          </w:p>
        </w:tc>
        <w:tc>
          <w:tcPr>
            <w:tcW w:w="1109" w:type="dxa"/>
          </w:tcPr>
          <w:p w14:paraId="5FEDF121"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w:t>
            </w:r>
            <w:r>
              <w:rPr>
                <w:rFonts w:ascii="Calibri" w:eastAsia="Times New Roman" w:hAnsi="Calibri" w:cs="Calibri"/>
                <w:color w:val="000000"/>
                <w:kern w:val="0"/>
                <w:sz w:val="20"/>
                <w:szCs w:val="20"/>
                <w14:ligatures w14:val="none"/>
              </w:rPr>
              <w:t>Agree</w:t>
            </w:r>
          </w:p>
        </w:tc>
        <w:tc>
          <w:tcPr>
            <w:tcW w:w="1926" w:type="dxa"/>
          </w:tcPr>
          <w:p w14:paraId="4648607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1E4CC6C" w14:textId="77777777" w:rsidTr="00FA6B67">
        <w:trPr>
          <w:tblHeader/>
        </w:trPr>
        <w:tc>
          <w:tcPr>
            <w:tcW w:w="700" w:type="dxa"/>
            <w:shd w:val="clear" w:color="auto" w:fill="auto"/>
            <w:noWrap/>
            <w:hideMark/>
          </w:tcPr>
          <w:p w14:paraId="4871002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W014</w:t>
            </w:r>
          </w:p>
        </w:tc>
        <w:tc>
          <w:tcPr>
            <w:tcW w:w="630" w:type="dxa"/>
            <w:shd w:val="clear" w:color="auto" w:fill="auto"/>
            <w:noWrap/>
            <w:hideMark/>
          </w:tcPr>
          <w:p w14:paraId="32208C6D"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25B7EF6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Capture the time deviation as “time difference”.</w:t>
            </w:r>
          </w:p>
        </w:tc>
        <w:tc>
          <w:tcPr>
            <w:tcW w:w="11160" w:type="dxa"/>
            <w:shd w:val="clear" w:color="auto" w:fill="auto"/>
            <w:hideMark/>
          </w:tcPr>
          <w:p w14:paraId="1C6889B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We understand the intention is to compare the time deviation and the threshold indicated by flightPathUpdateTimeThr. It will be clearer to change “time” to “time difference”.</w:t>
            </w:r>
          </w:p>
        </w:tc>
        <w:tc>
          <w:tcPr>
            <w:tcW w:w="8553" w:type="dxa"/>
            <w:shd w:val="clear" w:color="auto" w:fill="auto"/>
            <w:noWrap/>
            <w:hideMark/>
          </w:tcPr>
          <w:p w14:paraId="717884B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Same edits as 5.3.5.3 will be applied in general.</w:t>
            </w:r>
          </w:p>
        </w:tc>
        <w:tc>
          <w:tcPr>
            <w:tcW w:w="1109" w:type="dxa"/>
          </w:tcPr>
          <w:p w14:paraId="3787C8F4"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6F35114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7D7EDBC8" w14:textId="77777777" w:rsidTr="00FA6B67">
        <w:trPr>
          <w:tblHeader/>
        </w:trPr>
        <w:tc>
          <w:tcPr>
            <w:tcW w:w="700" w:type="dxa"/>
            <w:shd w:val="clear" w:color="auto" w:fill="auto"/>
            <w:noWrap/>
            <w:hideMark/>
          </w:tcPr>
          <w:p w14:paraId="2183405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C018</w:t>
            </w:r>
          </w:p>
        </w:tc>
        <w:tc>
          <w:tcPr>
            <w:tcW w:w="630" w:type="dxa"/>
            <w:shd w:val="clear" w:color="auto" w:fill="auto"/>
            <w:noWrap/>
            <w:hideMark/>
          </w:tcPr>
          <w:p w14:paraId="43486C80"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4C773FF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t>
            </w:r>
            <w:proofErr w:type="gramStart"/>
            <w:r w:rsidRPr="002D6A40">
              <w:rPr>
                <w:rFonts w:ascii="Calibri" w:eastAsia="Times New Roman" w:hAnsi="Calibri" w:cs="Calibri"/>
                <w:color w:val="000000"/>
                <w:kern w:val="0"/>
                <w:sz w:val="20"/>
                <w:szCs w:val="20"/>
                <w14:ligatures w14:val="none"/>
              </w:rPr>
              <w:t>if</w:t>
            </w:r>
            <w:proofErr w:type="gramEnd"/>
            <w:r w:rsidRPr="002D6A40">
              <w:rPr>
                <w:rFonts w:ascii="Calibri" w:eastAsia="Times New Roman" w:hAnsi="Calibri" w:cs="Calibri"/>
                <w:color w:val="000000"/>
                <w:kern w:val="0"/>
                <w:sz w:val="20"/>
                <w:szCs w:val="20"/>
                <w14:ligatures w14:val="none"/>
              </w:rPr>
              <w:t xml:space="preserve"> any” should be added in the end of this sentence, since it’s supported that zero waypoints are added. FlightPathInfoReport-r</w:t>
            </w:r>
            <w:proofErr w:type="gramStart"/>
            <w:r w:rsidRPr="002D6A40">
              <w:rPr>
                <w:rFonts w:ascii="Calibri" w:eastAsia="Times New Roman" w:hAnsi="Calibri" w:cs="Calibri"/>
                <w:color w:val="000000"/>
                <w:kern w:val="0"/>
                <w:sz w:val="20"/>
                <w:szCs w:val="20"/>
                <w14:ligatures w14:val="none"/>
              </w:rPr>
              <w:t>18 ::=</w:t>
            </w:r>
            <w:proofErr w:type="gramEnd"/>
            <w:r w:rsidRPr="002D6A40">
              <w:rPr>
                <w:rFonts w:ascii="Calibri" w:eastAsia="Times New Roman" w:hAnsi="Calibri" w:cs="Calibri"/>
                <w:color w:val="000000"/>
                <w:kern w:val="0"/>
                <w:sz w:val="20"/>
                <w:szCs w:val="20"/>
                <w14:ligatures w14:val="none"/>
              </w:rPr>
              <w:t xml:space="preserve">             SEQUENCE (SIZE (0..maxWayPoint-r18)) OF WayPoint-r18</w:t>
            </w:r>
          </w:p>
        </w:tc>
        <w:tc>
          <w:tcPr>
            <w:tcW w:w="11160" w:type="dxa"/>
            <w:shd w:val="clear" w:color="auto" w:fill="auto"/>
            <w:hideMark/>
          </w:tcPr>
          <w:p w14:paraId="15DED6C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t>
            </w:r>
            <w:proofErr w:type="gramStart"/>
            <w:r w:rsidRPr="002D6A40">
              <w:rPr>
                <w:rFonts w:ascii="Calibri" w:eastAsia="Times New Roman" w:hAnsi="Calibri" w:cs="Calibri"/>
                <w:color w:val="000000"/>
                <w:kern w:val="0"/>
                <w:sz w:val="20"/>
                <w:szCs w:val="20"/>
                <w14:ligatures w14:val="none"/>
              </w:rPr>
              <w:t>if</w:t>
            </w:r>
            <w:proofErr w:type="gramEnd"/>
            <w:r w:rsidRPr="002D6A40">
              <w:rPr>
                <w:rFonts w:ascii="Calibri" w:eastAsia="Times New Roman" w:hAnsi="Calibri" w:cs="Calibri"/>
                <w:color w:val="000000"/>
                <w:kern w:val="0"/>
                <w:sz w:val="20"/>
                <w:szCs w:val="20"/>
                <w14:ligatures w14:val="none"/>
              </w:rPr>
              <w:t xml:space="preserve"> any” is added in the end of this sentence.</w:t>
            </w:r>
          </w:p>
        </w:tc>
        <w:tc>
          <w:tcPr>
            <w:tcW w:w="8553" w:type="dxa"/>
            <w:shd w:val="clear" w:color="auto" w:fill="auto"/>
            <w:noWrap/>
            <w:hideMark/>
          </w:tcPr>
          <w:p w14:paraId="20E27287"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[Nokia – Jerediah] Propose to move “if any” to after “waypoints” so that “if any” applies to the waypoints instead of “flight path”. </w:t>
            </w:r>
          </w:p>
          <w:p w14:paraId="2A505D8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Agree with comment and Nokia's suggestion.</w:t>
            </w:r>
          </w:p>
        </w:tc>
        <w:tc>
          <w:tcPr>
            <w:tcW w:w="1109" w:type="dxa"/>
          </w:tcPr>
          <w:p w14:paraId="68214F52" w14:textId="77777777" w:rsidR="001D3D68"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60ECF4F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A0364E0" w14:textId="77777777" w:rsidTr="00FA6B67">
        <w:trPr>
          <w:tblHeader/>
        </w:trPr>
        <w:tc>
          <w:tcPr>
            <w:tcW w:w="700" w:type="dxa"/>
            <w:shd w:val="clear" w:color="auto" w:fill="auto"/>
            <w:noWrap/>
            <w:hideMark/>
          </w:tcPr>
          <w:p w14:paraId="06C2740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I115</w:t>
            </w:r>
          </w:p>
        </w:tc>
        <w:tc>
          <w:tcPr>
            <w:tcW w:w="630" w:type="dxa"/>
            <w:shd w:val="clear" w:color="auto" w:fill="auto"/>
            <w:noWrap/>
            <w:hideMark/>
          </w:tcPr>
          <w:p w14:paraId="6CE91703"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4524C75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Missing Need code.</w:t>
            </w:r>
          </w:p>
        </w:tc>
        <w:tc>
          <w:tcPr>
            <w:tcW w:w="11160" w:type="dxa"/>
            <w:shd w:val="clear" w:color="auto" w:fill="auto"/>
            <w:hideMark/>
          </w:tcPr>
          <w:p w14:paraId="2EFF911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Add Need N</w:t>
            </w:r>
          </w:p>
        </w:tc>
        <w:tc>
          <w:tcPr>
            <w:tcW w:w="8553" w:type="dxa"/>
            <w:shd w:val="clear" w:color="auto" w:fill="auto"/>
            <w:noWrap/>
            <w:hideMark/>
          </w:tcPr>
          <w:p w14:paraId="1D6E2CAC"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ok</w:t>
            </w:r>
          </w:p>
        </w:tc>
        <w:tc>
          <w:tcPr>
            <w:tcW w:w="1109" w:type="dxa"/>
          </w:tcPr>
          <w:p w14:paraId="26B48BF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776B4A0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3CB81377" w14:textId="77777777" w:rsidTr="00FA6B67">
        <w:trPr>
          <w:tblHeader/>
        </w:trPr>
        <w:tc>
          <w:tcPr>
            <w:tcW w:w="700" w:type="dxa"/>
            <w:shd w:val="clear" w:color="auto" w:fill="auto"/>
            <w:noWrap/>
            <w:hideMark/>
          </w:tcPr>
          <w:p w14:paraId="1F41D51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I116</w:t>
            </w:r>
          </w:p>
        </w:tc>
        <w:tc>
          <w:tcPr>
            <w:tcW w:w="630" w:type="dxa"/>
            <w:shd w:val="clear" w:color="auto" w:fill="auto"/>
            <w:noWrap/>
            <w:hideMark/>
          </w:tcPr>
          <w:p w14:paraId="3B98CCE4"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FF9122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From the procedural text, UE shall report flight path if available.  The field description should be aligned with that.</w:t>
            </w:r>
          </w:p>
        </w:tc>
        <w:tc>
          <w:tcPr>
            <w:tcW w:w="11160" w:type="dxa"/>
            <w:shd w:val="clear" w:color="auto" w:fill="auto"/>
            <w:hideMark/>
          </w:tcPr>
          <w:p w14:paraId="41396AE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“UE can report” to “UE shall report”</w:t>
            </w:r>
          </w:p>
        </w:tc>
        <w:tc>
          <w:tcPr>
            <w:tcW w:w="8553" w:type="dxa"/>
            <w:shd w:val="clear" w:color="auto" w:fill="auto"/>
            <w:noWrap/>
            <w:hideMark/>
          </w:tcPr>
          <w:p w14:paraId="52C6335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ok</w:t>
            </w:r>
          </w:p>
        </w:tc>
        <w:tc>
          <w:tcPr>
            <w:tcW w:w="1109" w:type="dxa"/>
          </w:tcPr>
          <w:p w14:paraId="18ACAF9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3D991B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3D039814" w14:textId="77777777" w:rsidTr="00FA6B67">
        <w:trPr>
          <w:tblHeader/>
        </w:trPr>
        <w:tc>
          <w:tcPr>
            <w:tcW w:w="700" w:type="dxa"/>
            <w:shd w:val="clear" w:color="auto" w:fill="auto"/>
            <w:noWrap/>
            <w:hideMark/>
          </w:tcPr>
          <w:p w14:paraId="7CCF8AF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E125</w:t>
            </w:r>
          </w:p>
        </w:tc>
        <w:tc>
          <w:tcPr>
            <w:tcW w:w="630" w:type="dxa"/>
            <w:shd w:val="clear" w:color="auto" w:fill="auto"/>
            <w:noWrap/>
            <w:hideMark/>
          </w:tcPr>
          <w:p w14:paraId="4113955A"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2755735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As in E123, flightpath availability has its own capability. Need not specify Aerial UE</w:t>
            </w:r>
          </w:p>
        </w:tc>
        <w:tc>
          <w:tcPr>
            <w:tcW w:w="11160" w:type="dxa"/>
            <w:shd w:val="clear" w:color="auto" w:fill="auto"/>
            <w:hideMark/>
          </w:tcPr>
          <w:p w14:paraId="14369BB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"Aerial"</w:t>
            </w:r>
          </w:p>
        </w:tc>
        <w:tc>
          <w:tcPr>
            <w:tcW w:w="8553" w:type="dxa"/>
            <w:shd w:val="clear" w:color="auto" w:fill="auto"/>
            <w:noWrap/>
            <w:hideMark/>
          </w:tcPr>
          <w:p w14:paraId="0DFF629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removing aerial from here is ok.</w:t>
            </w:r>
          </w:p>
        </w:tc>
        <w:tc>
          <w:tcPr>
            <w:tcW w:w="1109" w:type="dxa"/>
          </w:tcPr>
          <w:p w14:paraId="19750DEC"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AA3E7E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6FA6D4E" w14:textId="77777777" w:rsidTr="00FA6B67">
        <w:trPr>
          <w:tblHeader/>
        </w:trPr>
        <w:tc>
          <w:tcPr>
            <w:tcW w:w="700" w:type="dxa"/>
            <w:shd w:val="clear" w:color="auto" w:fill="auto"/>
            <w:noWrap/>
            <w:hideMark/>
          </w:tcPr>
          <w:p w14:paraId="4DEDFBF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E085</w:t>
            </w:r>
          </w:p>
        </w:tc>
        <w:tc>
          <w:tcPr>
            <w:tcW w:w="630" w:type="dxa"/>
            <w:shd w:val="clear" w:color="auto" w:fill="auto"/>
            <w:noWrap/>
            <w:hideMark/>
          </w:tcPr>
          <w:p w14:paraId="3DE86EF3"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18F544E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When the UE is within an altitude range indicated by altitudeRange, it ignores the ssb-ToMeasure (without suffix), and applies the corresponding ssb-ToMeasure-r18 if present, otherwise, if ssb-ToMeasure-r18 is absent, </w:t>
            </w:r>
            <w:proofErr w:type="gramStart"/>
            <w:r w:rsidRPr="002D6A40">
              <w:rPr>
                <w:rFonts w:ascii="Calibri" w:eastAsia="Times New Roman" w:hAnsi="Calibri" w:cs="Calibri"/>
                <w:color w:val="000000"/>
                <w:kern w:val="0"/>
                <w:sz w:val="20"/>
                <w:szCs w:val="20"/>
                <w14:ligatures w14:val="none"/>
              </w:rPr>
              <w:t>UE.measures</w:t>
            </w:r>
            <w:proofErr w:type="gramEnd"/>
            <w:r w:rsidRPr="002D6A40">
              <w:rPr>
                <w:rFonts w:ascii="Calibri" w:eastAsia="Times New Roman" w:hAnsi="Calibri" w:cs="Calibri"/>
                <w:color w:val="000000"/>
                <w:kern w:val="0"/>
                <w:sz w:val="20"/>
                <w:szCs w:val="20"/>
                <w14:ligatures w14:val="none"/>
              </w:rPr>
              <w:t xml:space="preserve"> on all SS-blocks.</w:t>
            </w:r>
          </w:p>
        </w:tc>
        <w:tc>
          <w:tcPr>
            <w:tcW w:w="11160" w:type="dxa"/>
            <w:shd w:val="clear" w:color="auto" w:fill="auto"/>
            <w:hideMark/>
          </w:tcPr>
          <w:p w14:paraId="14614FF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When the UE is within an altitude range indicated by altitudeRange, it ignores the ssb-ToMeasure (without suffix), and applies the corresponding ssb-ToMeasure-r18 if present, otherwise, if ssb-ToMeasure-r18 is absent, </w:t>
            </w:r>
            <w:proofErr w:type="gramStart"/>
            <w:r w:rsidRPr="002D6A40">
              <w:rPr>
                <w:rFonts w:ascii="Calibri" w:eastAsia="Times New Roman" w:hAnsi="Calibri" w:cs="Calibri"/>
                <w:color w:val="000000"/>
                <w:kern w:val="0"/>
                <w:sz w:val="20"/>
                <w:szCs w:val="20"/>
                <w14:ligatures w14:val="none"/>
              </w:rPr>
              <w:t>UE.measures</w:t>
            </w:r>
            <w:proofErr w:type="gramEnd"/>
            <w:r w:rsidRPr="002D6A40">
              <w:rPr>
                <w:rFonts w:ascii="Calibri" w:eastAsia="Times New Roman" w:hAnsi="Calibri" w:cs="Calibri"/>
                <w:color w:val="000000"/>
                <w:kern w:val="0"/>
                <w:sz w:val="20"/>
                <w:szCs w:val="20"/>
                <w14:ligatures w14:val="none"/>
              </w:rPr>
              <w:t xml:space="preserve"> on all SS-blocks.</w:t>
            </w:r>
          </w:p>
        </w:tc>
        <w:tc>
          <w:tcPr>
            <w:tcW w:w="8553" w:type="dxa"/>
            <w:shd w:val="clear" w:color="auto" w:fill="auto"/>
            <w:noWrap/>
            <w:hideMark/>
          </w:tcPr>
          <w:p w14:paraId="7444E4A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Ok with intent. Seems removing comma and rewording needed to clarify further. Will capture in CR.</w:t>
            </w:r>
          </w:p>
        </w:tc>
        <w:tc>
          <w:tcPr>
            <w:tcW w:w="1109" w:type="dxa"/>
          </w:tcPr>
          <w:p w14:paraId="1205EB6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0823F85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264A40A4" w14:textId="77777777" w:rsidTr="00FA6B67">
        <w:trPr>
          <w:tblHeader/>
        </w:trPr>
        <w:tc>
          <w:tcPr>
            <w:tcW w:w="700" w:type="dxa"/>
            <w:shd w:val="clear" w:color="auto" w:fill="auto"/>
            <w:noWrap/>
            <w:hideMark/>
          </w:tcPr>
          <w:p w14:paraId="30402B6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E094</w:t>
            </w:r>
          </w:p>
        </w:tc>
        <w:tc>
          <w:tcPr>
            <w:tcW w:w="630" w:type="dxa"/>
            <w:shd w:val="clear" w:color="auto" w:fill="auto"/>
            <w:noWrap/>
            <w:hideMark/>
          </w:tcPr>
          <w:p w14:paraId="28CE78CC"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13FCE42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Clarify both max and min are above sea level</w:t>
            </w:r>
          </w:p>
        </w:tc>
        <w:tc>
          <w:tcPr>
            <w:tcW w:w="11160" w:type="dxa"/>
            <w:shd w:val="clear" w:color="auto" w:fill="auto"/>
            <w:hideMark/>
          </w:tcPr>
          <w:p w14:paraId="67CA89C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"altitudeMin and altitudeMax indicate the minimum and maximum altitudes in meters relative to sea level, respectively"</w:t>
            </w:r>
          </w:p>
        </w:tc>
        <w:tc>
          <w:tcPr>
            <w:tcW w:w="8553" w:type="dxa"/>
            <w:shd w:val="clear" w:color="auto" w:fill="auto"/>
            <w:noWrap/>
            <w:hideMark/>
          </w:tcPr>
          <w:p w14:paraId="6014AC0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ok. Will capture in the CR.</w:t>
            </w:r>
          </w:p>
        </w:tc>
        <w:tc>
          <w:tcPr>
            <w:tcW w:w="1109" w:type="dxa"/>
          </w:tcPr>
          <w:p w14:paraId="14185160"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03F698A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7C475F0A" w14:textId="77777777" w:rsidTr="00FA6B67">
        <w:trPr>
          <w:tblHeader/>
        </w:trPr>
        <w:tc>
          <w:tcPr>
            <w:tcW w:w="700" w:type="dxa"/>
            <w:shd w:val="clear" w:color="auto" w:fill="auto"/>
            <w:noWrap/>
            <w:hideMark/>
          </w:tcPr>
          <w:p w14:paraId="099E997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C024</w:t>
            </w:r>
          </w:p>
        </w:tc>
        <w:tc>
          <w:tcPr>
            <w:tcW w:w="630" w:type="dxa"/>
            <w:shd w:val="clear" w:color="auto" w:fill="auto"/>
            <w:noWrap/>
            <w:hideMark/>
          </w:tcPr>
          <w:p w14:paraId="247315F2"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E1DADF7"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altitudeHyst is with Need S, so the default value should be specified.</w:t>
            </w:r>
          </w:p>
        </w:tc>
        <w:tc>
          <w:tcPr>
            <w:tcW w:w="11160" w:type="dxa"/>
            <w:shd w:val="clear" w:color="auto" w:fill="auto"/>
            <w:hideMark/>
          </w:tcPr>
          <w:p w14:paraId="03A7E0C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add “If altitudeHyst-r18 is absent, value 0 is used.”</w:t>
            </w:r>
          </w:p>
        </w:tc>
        <w:tc>
          <w:tcPr>
            <w:tcW w:w="8553" w:type="dxa"/>
            <w:shd w:val="clear" w:color="auto" w:fill="auto"/>
            <w:noWrap/>
            <w:hideMark/>
          </w:tcPr>
          <w:p w14:paraId="5A66280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CR rapp] We already have these "if included, altitudeHyst indicates hysteresis in meters for determination of the altitude range. I.e., when altitudeHyst is configured for an altitude range, the UE considers itself to have entered the range if altitudeMin ≤ UE altitude ≤ altitudeMax and after entering the range considers itself to be in the range while (altitudeMin – altitudeHyst) ≤ UE altitude ≤ (altitudeMax + altitudeHyst)." See also L003, seems easier to change it to Need R, instead.</w:t>
            </w:r>
          </w:p>
        </w:tc>
        <w:tc>
          <w:tcPr>
            <w:tcW w:w="1109" w:type="dxa"/>
          </w:tcPr>
          <w:p w14:paraId="1C1B4FB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5ECD126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01A8D0A9" w14:textId="77777777" w:rsidTr="00FA6B67">
        <w:trPr>
          <w:tblHeader/>
        </w:trPr>
        <w:tc>
          <w:tcPr>
            <w:tcW w:w="700" w:type="dxa"/>
            <w:shd w:val="clear" w:color="auto" w:fill="auto"/>
            <w:noWrap/>
            <w:hideMark/>
          </w:tcPr>
          <w:p w14:paraId="5916053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L003</w:t>
            </w:r>
          </w:p>
        </w:tc>
        <w:tc>
          <w:tcPr>
            <w:tcW w:w="630" w:type="dxa"/>
            <w:shd w:val="clear" w:color="auto" w:fill="auto"/>
            <w:noWrap/>
            <w:hideMark/>
          </w:tcPr>
          <w:p w14:paraId="3CD3995A"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1CAEE14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The Need Code is S, but the UE behaviour when the field is absent is not described in field description.</w:t>
            </w:r>
          </w:p>
        </w:tc>
        <w:tc>
          <w:tcPr>
            <w:tcW w:w="11160" w:type="dxa"/>
            <w:shd w:val="clear" w:color="auto" w:fill="auto"/>
            <w:hideMark/>
          </w:tcPr>
          <w:p w14:paraId="7C04EA28"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Add UE’s behaviour when the field is absent.  For each altitude range, altitudeMin indicates the minimum altitude in meters, altitudeMax indicates the maximum altitude in meters relative to sea level, and if included, altitudeHyst indicates hysteresis in meters for determination of the altitude range. I.e., when altitudeHyst is configured for an altitude range, the UE considers itself to have entered the range if altitudeMin ≤ UE altitude ≤ altitudeMax and after entering the range considers itself to be in the range while (altitudeMin – altitudeHyst) ≤ UE altitude ≤ (altitudeMax + altitudeHyst). If altitudeHyst is absent, the UE applies the value 0.</w:t>
            </w:r>
          </w:p>
        </w:tc>
        <w:tc>
          <w:tcPr>
            <w:tcW w:w="8553" w:type="dxa"/>
            <w:shd w:val="clear" w:color="auto" w:fill="auto"/>
            <w:noWrap/>
            <w:hideMark/>
          </w:tcPr>
          <w:p w14:paraId="6397F56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See also C024. Instead of adding value 0 in description in case of absence (which does not change anything in the equations), it seems better to change this to Need R. Will capture in CR.</w:t>
            </w:r>
          </w:p>
        </w:tc>
        <w:tc>
          <w:tcPr>
            <w:tcW w:w="1109" w:type="dxa"/>
          </w:tcPr>
          <w:p w14:paraId="57AEF17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6D7376F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63F6656D" w14:textId="77777777" w:rsidTr="00FA6B67">
        <w:trPr>
          <w:tblHeader/>
        </w:trPr>
        <w:tc>
          <w:tcPr>
            <w:tcW w:w="700" w:type="dxa"/>
            <w:shd w:val="clear" w:color="auto" w:fill="auto"/>
            <w:noWrap/>
            <w:hideMark/>
          </w:tcPr>
          <w:p w14:paraId="4459838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E086</w:t>
            </w:r>
          </w:p>
        </w:tc>
        <w:tc>
          <w:tcPr>
            <w:tcW w:w="630" w:type="dxa"/>
            <w:shd w:val="clear" w:color="auto" w:fill="auto"/>
            <w:noWrap/>
            <w:hideMark/>
          </w:tcPr>
          <w:p w14:paraId="39181C0D"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CF8F8A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Event type is not defined</w:t>
            </w:r>
          </w:p>
        </w:tc>
        <w:tc>
          <w:tcPr>
            <w:tcW w:w="11160" w:type="dxa"/>
            <w:shd w:val="clear" w:color="auto" w:fill="auto"/>
            <w:hideMark/>
          </w:tcPr>
          <w:p w14:paraId="26675DDB"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Use events of same name or other better description what does same type consist of</w:t>
            </w:r>
          </w:p>
        </w:tc>
        <w:tc>
          <w:tcPr>
            <w:tcW w:w="8553" w:type="dxa"/>
            <w:shd w:val="clear" w:color="auto" w:fill="auto"/>
            <w:noWrap/>
            <w:hideMark/>
          </w:tcPr>
          <w:p w14:paraId="66886FE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v188 as CR rapp] Similar to E081, “multiple events with the same eventID </w:t>
            </w:r>
            <w:proofErr w:type="gramStart"/>
            <w:r w:rsidRPr="002D6A40">
              <w:rPr>
                <w:rFonts w:ascii="Calibri" w:eastAsia="Times New Roman" w:hAnsi="Calibri" w:cs="Calibri"/>
                <w:color w:val="000000"/>
                <w:kern w:val="0"/>
                <w:sz w:val="20"/>
                <w:szCs w:val="20"/>
                <w14:ligatures w14:val="none"/>
              </w:rPr>
              <w:t>satisfy..</w:t>
            </w:r>
            <w:proofErr w:type="gramEnd"/>
            <w:r w:rsidRPr="002D6A40">
              <w:rPr>
                <w:rFonts w:ascii="Calibri" w:eastAsia="Times New Roman" w:hAnsi="Calibri" w:cs="Calibri"/>
                <w:color w:val="000000"/>
                <w:kern w:val="0"/>
                <w:sz w:val="20"/>
                <w:szCs w:val="20"/>
                <w14:ligatures w14:val="none"/>
              </w:rPr>
              <w:t>”.</w:t>
            </w:r>
          </w:p>
        </w:tc>
        <w:tc>
          <w:tcPr>
            <w:tcW w:w="1109" w:type="dxa"/>
          </w:tcPr>
          <w:p w14:paraId="1B39C67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12806D8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50F3EF46" w14:textId="77777777" w:rsidTr="00FA6B67">
        <w:trPr>
          <w:tblHeader/>
        </w:trPr>
        <w:tc>
          <w:tcPr>
            <w:tcW w:w="700" w:type="dxa"/>
            <w:shd w:val="clear" w:color="auto" w:fill="auto"/>
            <w:noWrap/>
            <w:hideMark/>
          </w:tcPr>
          <w:p w14:paraId="7E9DE5D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E122</w:t>
            </w:r>
          </w:p>
        </w:tc>
        <w:tc>
          <w:tcPr>
            <w:tcW w:w="630" w:type="dxa"/>
            <w:shd w:val="clear" w:color="auto" w:fill="auto"/>
            <w:noWrap/>
            <w:hideMark/>
          </w:tcPr>
          <w:p w14:paraId="0A86F10D"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75DA3D16"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Should align terminology. In some places we use 'uav' and in others we use 'aerial'.</w:t>
            </w:r>
          </w:p>
        </w:tc>
        <w:tc>
          <w:tcPr>
            <w:tcW w:w="11160" w:type="dxa"/>
            <w:shd w:val="clear" w:color="auto" w:fill="auto"/>
            <w:hideMark/>
          </w:tcPr>
          <w:p w14:paraId="50666C2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the name to "Aerial-FlightPathAvailabilityConfig-r18"</w:t>
            </w:r>
          </w:p>
        </w:tc>
        <w:tc>
          <w:tcPr>
            <w:tcW w:w="8553" w:type="dxa"/>
            <w:shd w:val="clear" w:color="auto" w:fill="auto"/>
            <w:noWrap/>
            <w:hideMark/>
          </w:tcPr>
          <w:p w14:paraId="044F00A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Ok. Comment makes sense. In addition to this, we can align the rest of 'uav' to 'aerial' throughout, including UAV-Config -&gt; Aerial-Config (related to E126). This will be captured in UAV RRC rapp CR.</w:t>
            </w:r>
          </w:p>
        </w:tc>
        <w:tc>
          <w:tcPr>
            <w:tcW w:w="1109" w:type="dxa"/>
          </w:tcPr>
          <w:p w14:paraId="65D82E1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316D80D3"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224FF289" w14:textId="77777777" w:rsidTr="00FA6B67">
        <w:trPr>
          <w:tblHeader/>
        </w:trPr>
        <w:tc>
          <w:tcPr>
            <w:tcW w:w="700" w:type="dxa"/>
            <w:shd w:val="clear" w:color="auto" w:fill="auto"/>
            <w:noWrap/>
            <w:hideMark/>
          </w:tcPr>
          <w:p w14:paraId="392F3B5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E127</w:t>
            </w:r>
          </w:p>
        </w:tc>
        <w:tc>
          <w:tcPr>
            <w:tcW w:w="630" w:type="dxa"/>
            <w:shd w:val="clear" w:color="auto" w:fill="auto"/>
            <w:noWrap/>
            <w:hideMark/>
          </w:tcPr>
          <w:p w14:paraId="6404CD40"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2742FD1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It was not agreed that exceptional resource pools can also be configured for A2X communication.</w:t>
            </w:r>
          </w:p>
        </w:tc>
        <w:tc>
          <w:tcPr>
            <w:tcW w:w="11160" w:type="dxa"/>
            <w:shd w:val="clear" w:color="auto" w:fill="auto"/>
            <w:hideMark/>
          </w:tcPr>
          <w:p w14:paraId="4FF5652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p>
        </w:tc>
        <w:tc>
          <w:tcPr>
            <w:tcW w:w="8553" w:type="dxa"/>
            <w:shd w:val="clear" w:color="auto" w:fill="auto"/>
            <w:noWrap/>
            <w:hideMark/>
          </w:tcPr>
          <w:p w14:paraId="1437642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ok. Will add this in FD "This field does not include sl-TxPoolExceptional."</w:t>
            </w:r>
          </w:p>
        </w:tc>
        <w:tc>
          <w:tcPr>
            <w:tcW w:w="1109" w:type="dxa"/>
          </w:tcPr>
          <w:p w14:paraId="2C0A598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241A5C34"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4701FEF7" w14:textId="77777777" w:rsidTr="00FA6B67">
        <w:trPr>
          <w:tblHeader/>
        </w:trPr>
        <w:tc>
          <w:tcPr>
            <w:tcW w:w="700" w:type="dxa"/>
            <w:shd w:val="clear" w:color="auto" w:fill="auto"/>
            <w:noWrap/>
            <w:hideMark/>
          </w:tcPr>
          <w:p w14:paraId="70183BB9"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E128</w:t>
            </w:r>
          </w:p>
        </w:tc>
        <w:tc>
          <w:tcPr>
            <w:tcW w:w="630" w:type="dxa"/>
            <w:shd w:val="clear" w:color="auto" w:fill="auto"/>
            <w:noWrap/>
            <w:hideMark/>
          </w:tcPr>
          <w:p w14:paraId="6CB80CC2"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6BCE65A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It was not agreed that exceptional resource pools can also be configured for A2X communication.</w:t>
            </w:r>
          </w:p>
        </w:tc>
        <w:tc>
          <w:tcPr>
            <w:tcW w:w="11160" w:type="dxa"/>
            <w:shd w:val="clear" w:color="auto" w:fill="auto"/>
            <w:hideMark/>
          </w:tcPr>
          <w:p w14:paraId="681FEA7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p>
        </w:tc>
        <w:tc>
          <w:tcPr>
            <w:tcW w:w="8553" w:type="dxa"/>
            <w:shd w:val="clear" w:color="auto" w:fill="auto"/>
            <w:noWrap/>
            <w:hideMark/>
          </w:tcPr>
          <w:p w14:paraId="2B73268F"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ok. Will add this in FD "This field does not include sl-TxPoolExceptional."</w:t>
            </w:r>
          </w:p>
        </w:tc>
        <w:tc>
          <w:tcPr>
            <w:tcW w:w="1109" w:type="dxa"/>
          </w:tcPr>
          <w:p w14:paraId="7B9B066D"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05527292"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r w:rsidR="001D3D68" w:rsidRPr="002D6A40" w14:paraId="50D46470" w14:textId="77777777" w:rsidTr="00FA6B67">
        <w:trPr>
          <w:tblHeader/>
        </w:trPr>
        <w:tc>
          <w:tcPr>
            <w:tcW w:w="700" w:type="dxa"/>
            <w:shd w:val="clear" w:color="auto" w:fill="auto"/>
            <w:noWrap/>
            <w:hideMark/>
          </w:tcPr>
          <w:p w14:paraId="329F1EDA"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J074</w:t>
            </w:r>
          </w:p>
        </w:tc>
        <w:tc>
          <w:tcPr>
            <w:tcW w:w="630" w:type="dxa"/>
            <w:shd w:val="clear" w:color="auto" w:fill="auto"/>
            <w:noWrap/>
            <w:hideMark/>
          </w:tcPr>
          <w:p w14:paraId="1D6F51DC" w14:textId="77777777" w:rsidR="001D3D68" w:rsidRPr="002D6A40" w:rsidRDefault="001D3D68"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6945" w:type="dxa"/>
            <w:shd w:val="clear" w:color="auto" w:fill="auto"/>
            <w:hideMark/>
          </w:tcPr>
          <w:p w14:paraId="52A4356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It is unclear whether sl-A2X-Service-r18 is optional in A2X resource pools.</w:t>
            </w:r>
          </w:p>
        </w:tc>
        <w:tc>
          <w:tcPr>
            <w:tcW w:w="11160" w:type="dxa"/>
            <w:shd w:val="clear" w:color="auto" w:fill="auto"/>
            <w:hideMark/>
          </w:tcPr>
          <w:p w14:paraId="00A140AE"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If SL-ResourcePool is included in A2X resource pools (i.e. sl-BWP-PoolConfigA2X or sl-BWP-PoolConfigCommonA2X), whether sl-A2X-Service-r18 field is optional is unclear. If it is still optional, no clarification is needed; else, suggest </w:t>
            </w:r>
            <w:proofErr w:type="gramStart"/>
            <w:r w:rsidRPr="002D6A40">
              <w:rPr>
                <w:rFonts w:ascii="Calibri" w:eastAsia="Times New Roman" w:hAnsi="Calibri" w:cs="Calibri"/>
                <w:color w:val="000000"/>
                <w:kern w:val="0"/>
                <w:sz w:val="20"/>
                <w:szCs w:val="20"/>
                <w14:ligatures w14:val="none"/>
              </w:rPr>
              <w:t>to add</w:t>
            </w:r>
            <w:proofErr w:type="gramEnd"/>
            <w:r w:rsidRPr="002D6A40">
              <w:rPr>
                <w:rFonts w:ascii="Calibri" w:eastAsia="Times New Roman" w:hAnsi="Calibri" w:cs="Calibri"/>
                <w:color w:val="000000"/>
                <w:kern w:val="0"/>
                <w:sz w:val="20"/>
                <w:szCs w:val="20"/>
                <w14:ligatures w14:val="none"/>
              </w:rPr>
              <w:t xml:space="preserve"> clarification.</w:t>
            </w:r>
          </w:p>
        </w:tc>
        <w:tc>
          <w:tcPr>
            <w:tcW w:w="8553" w:type="dxa"/>
            <w:shd w:val="clear" w:color="auto" w:fill="auto"/>
            <w:noWrap/>
            <w:hideMark/>
          </w:tcPr>
          <w:p w14:paraId="453B16A5"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Agree with intent. This field should be mandatory to be included in A2X resource pools (i.e. sl-BWP-PoolConfigA2X or sl-BWP-PoolConfigCommonA2X). Will add Cond A2X "This field is mandatory present in sl-BWP-PoolConfigA2X and sl-BWP-PoolConfigCommonA2X. Otherwise the field is Optional, need M."</w:t>
            </w:r>
          </w:p>
        </w:tc>
        <w:tc>
          <w:tcPr>
            <w:tcW w:w="1109" w:type="dxa"/>
          </w:tcPr>
          <w:p w14:paraId="06E0A411"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PropAgree</w:t>
            </w:r>
          </w:p>
        </w:tc>
        <w:tc>
          <w:tcPr>
            <w:tcW w:w="1926" w:type="dxa"/>
          </w:tcPr>
          <w:p w14:paraId="7302E33C" w14:textId="77777777" w:rsidR="001D3D68" w:rsidRPr="002D6A40" w:rsidRDefault="001D3D68"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Captured in Rapp CR</w:t>
            </w:r>
          </w:p>
        </w:tc>
      </w:tr>
    </w:tbl>
    <w:p w14:paraId="25F5CD4F" w14:textId="77777777" w:rsidR="001D3D68" w:rsidRDefault="001D3D68" w:rsidP="00A6313E">
      <w:pPr>
        <w:rPr>
          <w:sz w:val="20"/>
          <w:szCs w:val="20"/>
        </w:rPr>
      </w:pPr>
    </w:p>
    <w:p w14:paraId="61788AFD" w14:textId="7A219571" w:rsidR="00CF7AFB" w:rsidRDefault="00B14C5E" w:rsidP="0066280A">
      <w:pPr>
        <w:pStyle w:val="Proposal"/>
        <w:numPr>
          <w:ilvl w:val="0"/>
          <w:numId w:val="5"/>
        </w:numPr>
      </w:pPr>
      <w:bookmarkStart w:id="80" w:name="_Toc159145669"/>
      <w:bookmarkStart w:id="81" w:name="_Toc159145722"/>
      <w:bookmarkStart w:id="82" w:name="_Toc159145738"/>
      <w:bookmarkStart w:id="83" w:name="_Toc159145783"/>
      <w:bookmarkStart w:id="84" w:name="_Toc159145845"/>
      <w:bookmarkStart w:id="85" w:name="_Toc159147320"/>
      <w:bookmarkStart w:id="86" w:name="_Toc159148367"/>
      <w:bookmarkStart w:id="87" w:name="_Toc159148478"/>
      <w:bookmarkStart w:id="88" w:name="_Toc159169329"/>
      <w:bookmarkStart w:id="89" w:name="_Toc159169341"/>
      <w:bookmarkStart w:id="90" w:name="_Toc159169363"/>
      <w:bookmarkStart w:id="91" w:name="_Toc159181178"/>
      <w:bookmarkStart w:id="92" w:name="_Toc159181188"/>
      <w:r>
        <w:t xml:space="preserve">For </w:t>
      </w:r>
      <w:r w:rsidR="00FA6B67">
        <w:t>NR</w:t>
      </w:r>
      <w:r w:rsidR="00B4187D">
        <w:t xml:space="preserve"> </w:t>
      </w:r>
      <w:r w:rsidR="00635489" w:rsidRPr="00635489">
        <w:t>H743, J061, Z074, Z075, C003, C004, V822, Z072, W012, C005, W013, E081, C008, H745, H059, C009, J065, W014, C018, I115, I116, E125, E085, E094, C024, L003, E086, E122, E127, E128, J074</w:t>
      </w:r>
      <w:r w:rsidR="00AC78A6">
        <w:t>: A</w:t>
      </w:r>
      <w:r w:rsidR="0039475E">
        <w:t xml:space="preserve">gree to the proposed resolutions as captured in the rapporteur’s </w:t>
      </w:r>
      <w:r w:rsidR="00FE65B1">
        <w:t>misc.</w:t>
      </w:r>
      <w:r w:rsidR="0039475E">
        <w:t xml:space="preserve"> corrections CR.</w:t>
      </w:r>
      <w:bookmarkEnd w:id="80"/>
      <w:bookmarkEnd w:id="81"/>
      <w:bookmarkEnd w:id="82"/>
      <w:bookmarkEnd w:id="83"/>
      <w:bookmarkEnd w:id="84"/>
      <w:bookmarkEnd w:id="85"/>
      <w:bookmarkEnd w:id="86"/>
      <w:bookmarkEnd w:id="87"/>
      <w:bookmarkEnd w:id="88"/>
      <w:bookmarkEnd w:id="89"/>
      <w:bookmarkEnd w:id="90"/>
      <w:bookmarkEnd w:id="91"/>
      <w:bookmarkEnd w:id="92"/>
      <w:r w:rsidR="0039475E">
        <w:t xml:space="preserve"> </w:t>
      </w:r>
    </w:p>
    <w:p w14:paraId="353E1DF0" w14:textId="64A566DC" w:rsidR="00547267" w:rsidRPr="00745EC4" w:rsidRDefault="00547267" w:rsidP="00547267">
      <w:pPr>
        <w:pStyle w:val="Heading2"/>
        <w:numPr>
          <w:ilvl w:val="1"/>
          <w:numId w:val="2"/>
        </w:numPr>
        <w:spacing w:line="276" w:lineRule="auto"/>
        <w:ind w:left="576" w:hanging="576"/>
        <w:rPr>
          <w:i w:val="0"/>
          <w:iCs w:val="0"/>
        </w:rPr>
      </w:pPr>
      <w:r w:rsidRPr="00745EC4">
        <w:rPr>
          <w:i w:val="0"/>
          <w:iCs w:val="0"/>
        </w:rPr>
        <w:t>RILs with proposed resolution Prop</w:t>
      </w:r>
      <w:r>
        <w:rPr>
          <w:i w:val="0"/>
          <w:iCs w:val="0"/>
        </w:rPr>
        <w:t>Reject</w:t>
      </w:r>
    </w:p>
    <w:p w14:paraId="7BD211FB" w14:textId="77777777" w:rsidR="00962FE9" w:rsidRDefault="00962FE9">
      <w:pPr>
        <w:rPr>
          <w:sz w:val="20"/>
          <w:szCs w:val="20"/>
        </w:rPr>
      </w:pPr>
    </w:p>
    <w:tbl>
      <w:tblPr>
        <w:tblW w:w="3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30"/>
        <w:gridCol w:w="8658"/>
        <w:gridCol w:w="10077"/>
        <w:gridCol w:w="8010"/>
        <w:gridCol w:w="1109"/>
        <w:gridCol w:w="1926"/>
      </w:tblGrid>
      <w:tr w:rsidR="00747C46" w:rsidRPr="002D6A40" w14:paraId="47AEA206" w14:textId="77777777" w:rsidTr="00747C46">
        <w:trPr>
          <w:tblHeader/>
        </w:trPr>
        <w:tc>
          <w:tcPr>
            <w:tcW w:w="700" w:type="dxa"/>
            <w:shd w:val="clear" w:color="auto" w:fill="auto"/>
            <w:noWrap/>
            <w:hideMark/>
          </w:tcPr>
          <w:p w14:paraId="7CEA6013" w14:textId="77777777" w:rsidR="00747C46" w:rsidRPr="002D6A40" w:rsidRDefault="00747C46"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ID</w:t>
            </w:r>
          </w:p>
        </w:tc>
        <w:tc>
          <w:tcPr>
            <w:tcW w:w="630" w:type="dxa"/>
            <w:shd w:val="clear" w:color="auto" w:fill="auto"/>
            <w:noWrap/>
            <w:hideMark/>
          </w:tcPr>
          <w:p w14:paraId="4674A4CD" w14:textId="77777777" w:rsidR="00747C46" w:rsidRPr="002D6A40" w:rsidRDefault="00747C46" w:rsidP="0034642D">
            <w:pPr>
              <w:spacing w:after="0" w:line="240" w:lineRule="auto"/>
              <w:jc w:val="center"/>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Class</w:t>
            </w:r>
          </w:p>
        </w:tc>
        <w:tc>
          <w:tcPr>
            <w:tcW w:w="8658" w:type="dxa"/>
            <w:shd w:val="clear" w:color="auto" w:fill="auto"/>
            <w:hideMark/>
          </w:tcPr>
          <w:p w14:paraId="03E31588" w14:textId="77777777" w:rsidR="00747C46" w:rsidRPr="002D6A40" w:rsidRDefault="00747C46"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Description</w:t>
            </w:r>
          </w:p>
        </w:tc>
        <w:tc>
          <w:tcPr>
            <w:tcW w:w="10077" w:type="dxa"/>
            <w:shd w:val="clear" w:color="auto" w:fill="auto"/>
            <w:hideMark/>
          </w:tcPr>
          <w:p w14:paraId="39BDB9B4" w14:textId="77777777" w:rsidR="00747C46" w:rsidRPr="002D6A40" w:rsidRDefault="00747C46"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Proposed Change</w:t>
            </w:r>
          </w:p>
        </w:tc>
        <w:tc>
          <w:tcPr>
            <w:tcW w:w="8010" w:type="dxa"/>
            <w:shd w:val="clear" w:color="auto" w:fill="auto"/>
            <w:noWrap/>
            <w:hideMark/>
          </w:tcPr>
          <w:p w14:paraId="3E8A0A2E" w14:textId="77777777" w:rsidR="00747C46" w:rsidRPr="002D6A40" w:rsidRDefault="00747C46"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Comments</w:t>
            </w:r>
          </w:p>
        </w:tc>
        <w:tc>
          <w:tcPr>
            <w:tcW w:w="1109" w:type="dxa"/>
          </w:tcPr>
          <w:p w14:paraId="50B54DBE" w14:textId="77777777" w:rsidR="00747C46" w:rsidRDefault="00747C46" w:rsidP="0034642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Proposed resolution</w:t>
            </w:r>
          </w:p>
        </w:tc>
        <w:tc>
          <w:tcPr>
            <w:tcW w:w="1926" w:type="dxa"/>
          </w:tcPr>
          <w:p w14:paraId="5674535B" w14:textId="77777777" w:rsidR="00747C46" w:rsidRPr="002D6A40" w:rsidRDefault="00747C46" w:rsidP="0034642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Rapp NOTE</w:t>
            </w:r>
          </w:p>
        </w:tc>
      </w:tr>
      <w:tr w:rsidR="00747C46" w:rsidRPr="002D6A40" w14:paraId="510D7734" w14:textId="77777777" w:rsidTr="00747C46">
        <w:trPr>
          <w:tblHeader/>
        </w:trPr>
        <w:tc>
          <w:tcPr>
            <w:tcW w:w="700" w:type="dxa"/>
            <w:shd w:val="clear" w:color="auto" w:fill="auto"/>
            <w:noWrap/>
            <w:hideMark/>
          </w:tcPr>
          <w:p w14:paraId="118AA37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E047</w:t>
            </w:r>
          </w:p>
        </w:tc>
        <w:tc>
          <w:tcPr>
            <w:tcW w:w="630" w:type="dxa"/>
            <w:shd w:val="clear" w:color="auto" w:fill="auto"/>
            <w:noWrap/>
            <w:hideMark/>
          </w:tcPr>
          <w:p w14:paraId="0EADB332"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shd w:val="clear" w:color="auto" w:fill="auto"/>
            <w:hideMark/>
          </w:tcPr>
          <w:p w14:paraId="38C04A0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This specification does not need aerial UE definition. It should be aligned with NTN or NES where following ways are used:</w:t>
            </w:r>
            <w:r w:rsidRPr="002D6A40">
              <w:rPr>
                <w:rFonts w:ascii="Calibri" w:eastAsia="Times New Roman" w:hAnsi="Calibri" w:cs="Calibri"/>
                <w:color w:val="000000"/>
                <w:kern w:val="0"/>
                <w:sz w:val="20"/>
                <w:szCs w:val="20"/>
                <w14:ligatures w14:val="none"/>
              </w:rPr>
              <w:br/>
              <w:t>NOTE 1: A UE capable of NTN access...  Or in procedural: 1&gt; if the UE supports NES cell DTX/DRX</w:t>
            </w:r>
          </w:p>
        </w:tc>
        <w:tc>
          <w:tcPr>
            <w:tcW w:w="10077" w:type="dxa"/>
            <w:shd w:val="clear" w:color="auto" w:fill="auto"/>
            <w:hideMark/>
          </w:tcPr>
          <w:p w14:paraId="43E49F3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Remove Aerial UE definition and align rest of specification with "A UE capable of A2X </w:t>
            </w:r>
            <w:proofErr w:type="gramStart"/>
            <w:r w:rsidRPr="002D6A40">
              <w:rPr>
                <w:rFonts w:ascii="Calibri" w:eastAsia="Times New Roman" w:hAnsi="Calibri" w:cs="Calibri"/>
                <w:color w:val="000000"/>
                <w:kern w:val="0"/>
                <w:sz w:val="20"/>
                <w:szCs w:val="20"/>
                <w14:ligatures w14:val="none"/>
              </w:rPr>
              <w:t>communication..</w:t>
            </w:r>
            <w:proofErr w:type="gramEnd"/>
            <w:r w:rsidRPr="002D6A40">
              <w:rPr>
                <w:rFonts w:ascii="Calibri" w:eastAsia="Times New Roman" w:hAnsi="Calibri" w:cs="Calibri"/>
                <w:color w:val="000000"/>
                <w:kern w:val="0"/>
                <w:sz w:val="20"/>
                <w:szCs w:val="20"/>
                <w14:ligatures w14:val="none"/>
              </w:rPr>
              <w:t>" or "if the UE supports A2X communication"</w:t>
            </w:r>
          </w:p>
        </w:tc>
        <w:tc>
          <w:tcPr>
            <w:tcW w:w="8010" w:type="dxa"/>
            <w:shd w:val="clear" w:color="auto" w:fill="auto"/>
            <w:noWrap/>
            <w:hideMark/>
          </w:tcPr>
          <w:p w14:paraId="34BE104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v188 as CR rapp] This comment was raised by one company during CR drafting phase also not supported by other companies at that time. The current definition was reached after several roudns of edits. If we remove this now, the RRC would need to be updated in 50+ places as well as 38.306 would need to be update. While NTN and NES uses as "UE capable </w:t>
            </w:r>
            <w:proofErr w:type="gramStart"/>
            <w:r w:rsidRPr="002D6A40">
              <w:rPr>
                <w:rFonts w:ascii="Calibri" w:eastAsia="Times New Roman" w:hAnsi="Calibri" w:cs="Calibri"/>
                <w:color w:val="000000"/>
                <w:kern w:val="0"/>
                <w:sz w:val="20"/>
                <w:szCs w:val="20"/>
                <w14:ligatures w14:val="none"/>
              </w:rPr>
              <w:t>of..</w:t>
            </w:r>
            <w:proofErr w:type="gramEnd"/>
            <w:r w:rsidRPr="002D6A40">
              <w:rPr>
                <w:rFonts w:ascii="Calibri" w:eastAsia="Times New Roman" w:hAnsi="Calibri" w:cs="Calibri"/>
                <w:color w:val="000000"/>
                <w:kern w:val="0"/>
                <w:sz w:val="20"/>
                <w:szCs w:val="20"/>
                <w14:ligatures w14:val="none"/>
              </w:rPr>
              <w:t>", there are other examples like RedCap UEs and eRedCap UEs which have their own definitions. So, rapp proposal is to not change it.</w:t>
            </w:r>
          </w:p>
        </w:tc>
        <w:tc>
          <w:tcPr>
            <w:tcW w:w="1109" w:type="dxa"/>
          </w:tcPr>
          <w:p w14:paraId="7A8325D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Pr>
          <w:p w14:paraId="144FB633"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5FCCE9E9"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0CA2D3F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E048</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5DAA8EE8"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733954D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the condition is specific to the defined frequency bands in that said list, </w:t>
            </w:r>
            <w:proofErr w:type="gramStart"/>
            <w:r w:rsidRPr="002D6A40">
              <w:rPr>
                <w:rFonts w:ascii="Calibri" w:eastAsia="Times New Roman" w:hAnsi="Calibri" w:cs="Calibri"/>
                <w:color w:val="000000"/>
                <w:kern w:val="0"/>
                <w:sz w:val="20"/>
                <w:szCs w:val="20"/>
                <w14:ligatures w14:val="none"/>
              </w:rPr>
              <w:t>the  additional</w:t>
            </w:r>
            <w:proofErr w:type="gramEnd"/>
            <w:r w:rsidRPr="002D6A40">
              <w:rPr>
                <w:rFonts w:ascii="Calibri" w:eastAsia="Times New Roman" w:hAnsi="Calibri" w:cs="Calibri"/>
                <w:color w:val="000000"/>
                <w:kern w:val="0"/>
                <w:sz w:val="20"/>
                <w:szCs w:val="20"/>
                <w14:ligatures w14:val="none"/>
              </w:rPr>
              <w:t xml:space="preserve"> condition on aerial UE  is redundant and misleading. UE needs to do the following procedures if certain Freq is supported.  This is in multiple places: 5.2.2.4.2, 5.2.2.4.3, 5.2.2.4.5</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7979826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"if the UE ia aerial UE"</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458D1E8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There is no guarantee that frequencyBandListAerial cannot include a frequency used for terrestrial (non-Aerial) UE. In terms of just supporting "one additionalSpectrumEmission values in nr-NS-PmaxListAerial" this could be true for non-Aerial UE also, however "7</w:t>
            </w:r>
            <w:proofErr w:type="gramStart"/>
            <w:r w:rsidRPr="002D6A40">
              <w:rPr>
                <w:rFonts w:ascii="Calibri" w:eastAsia="Times New Roman" w:hAnsi="Calibri" w:cs="Calibri"/>
                <w:color w:val="000000"/>
                <w:kern w:val="0"/>
                <w:sz w:val="20"/>
                <w:szCs w:val="20"/>
                <w14:ligatures w14:val="none"/>
              </w:rPr>
              <w:t>&gt;  apply</w:t>
            </w:r>
            <w:proofErr w:type="gramEnd"/>
            <w:r w:rsidRPr="002D6A40">
              <w:rPr>
                <w:rFonts w:ascii="Calibri" w:eastAsia="Times New Roman" w:hAnsi="Calibri" w:cs="Calibri"/>
                <w:color w:val="000000"/>
                <w:kern w:val="0"/>
                <w:sz w:val="20"/>
                <w:szCs w:val="20"/>
                <w14:ligatures w14:val="none"/>
              </w:rPr>
              <w:t xml:space="preserve"> the first listed additionalSpectrumEmission which it supports among the values included in nr-NS-PmaxListAerial within frequencyBandListAerial;" should only be done by an Aerial UE. </w:t>
            </w:r>
            <w:proofErr w:type="gramStart"/>
            <w:r w:rsidRPr="002D6A40">
              <w:rPr>
                <w:rFonts w:ascii="Calibri" w:eastAsia="Times New Roman" w:hAnsi="Calibri" w:cs="Calibri"/>
                <w:color w:val="000000"/>
                <w:kern w:val="0"/>
                <w:sz w:val="20"/>
                <w:szCs w:val="20"/>
                <w14:ligatures w14:val="none"/>
              </w:rPr>
              <w:t>Therefore</w:t>
            </w:r>
            <w:proofErr w:type="gramEnd"/>
            <w:r w:rsidRPr="002D6A40">
              <w:rPr>
                <w:rFonts w:ascii="Calibri" w:eastAsia="Times New Roman" w:hAnsi="Calibri" w:cs="Calibri"/>
                <w:color w:val="000000"/>
                <w:kern w:val="0"/>
                <w:sz w:val="20"/>
                <w:szCs w:val="20"/>
                <w14:ligatures w14:val="none"/>
              </w:rPr>
              <w:t xml:space="preserve"> suggesting PropReject.</w:t>
            </w:r>
          </w:p>
        </w:tc>
        <w:tc>
          <w:tcPr>
            <w:tcW w:w="1109" w:type="dxa"/>
            <w:tcBorders>
              <w:top w:val="single" w:sz="4" w:space="0" w:color="auto"/>
              <w:left w:val="single" w:sz="4" w:space="0" w:color="auto"/>
              <w:bottom w:val="single" w:sz="4" w:space="0" w:color="auto"/>
              <w:right w:val="single" w:sz="4" w:space="0" w:color="auto"/>
            </w:tcBorders>
          </w:tcPr>
          <w:p w14:paraId="51D840C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7039430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5C6B9891"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3367A6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E121</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6C032E7D"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511B668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 the overall context, this clause seems redundant primarily because it does not point to any other section for further procedures. It would be the expected UE behaviour.</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2338F8ED"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this clause</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5BB2523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I think this was also discussed during the CR phase. And it was also suggested to create a separate section to refer from here to configure according to UAV-Config. But since there is no complicated procedure, we took the middle road not to define separate section, but just capture it here. REmoving it completely makes it incomplete, but if there is strong suggestion to create a new section, that would be ok instead. PS: UAV-Config in this statement will be updated to Aerial-Config as commented elsewhere.</w:t>
            </w:r>
          </w:p>
        </w:tc>
        <w:tc>
          <w:tcPr>
            <w:tcW w:w="1109" w:type="dxa"/>
            <w:tcBorders>
              <w:top w:val="single" w:sz="4" w:space="0" w:color="auto"/>
              <w:left w:val="single" w:sz="4" w:space="0" w:color="auto"/>
              <w:bottom w:val="single" w:sz="4" w:space="0" w:color="auto"/>
              <w:right w:val="single" w:sz="4" w:space="0" w:color="auto"/>
            </w:tcBorders>
          </w:tcPr>
          <w:p w14:paraId="6308278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4AE2087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527A82D7"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26C8DCA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C006</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02C4B9D3"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5019830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Even if “If neither flightPathUpdateDistanceThr nor flightPathUpdateTimeThr is configured”, when there is addition or removal of waypoints, UE shall indicate flightPathInfoAvailable according to the spec. This RIL is also applicable to 5.3.7.5 and 5.7.4.2</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7DC3B5C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In the beginning of NOTE 0c, add </w:t>
            </w:r>
            <w:proofErr w:type="gramStart"/>
            <w:r w:rsidRPr="002D6A40">
              <w:rPr>
                <w:rFonts w:ascii="Calibri" w:eastAsia="Times New Roman" w:hAnsi="Calibri" w:cs="Calibri"/>
                <w:color w:val="000000"/>
                <w:kern w:val="0"/>
                <w:sz w:val="20"/>
                <w:szCs w:val="20"/>
                <w14:ligatures w14:val="none"/>
              </w:rPr>
              <w:t>“ Except</w:t>
            </w:r>
            <w:proofErr w:type="gramEnd"/>
            <w:r w:rsidRPr="002D6A40">
              <w:rPr>
                <w:rFonts w:ascii="Calibri" w:eastAsia="Times New Roman" w:hAnsi="Calibri" w:cs="Calibri"/>
                <w:color w:val="000000"/>
                <w:kern w:val="0"/>
                <w:sz w:val="20"/>
                <w:szCs w:val="20"/>
                <w14:ligatures w14:val="none"/>
              </w:rPr>
              <w:t xml:space="preserve"> for the addition or removal of waypoint(s)”</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582159CD"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I think that is obvious without updating the Note.</w:t>
            </w:r>
          </w:p>
        </w:tc>
        <w:tc>
          <w:tcPr>
            <w:tcW w:w="1109" w:type="dxa"/>
            <w:tcBorders>
              <w:top w:val="single" w:sz="4" w:space="0" w:color="auto"/>
              <w:left w:val="single" w:sz="4" w:space="0" w:color="auto"/>
              <w:bottom w:val="single" w:sz="4" w:space="0" w:color="auto"/>
              <w:right w:val="single" w:sz="4" w:space="0" w:color="auto"/>
            </w:tcBorders>
          </w:tcPr>
          <w:p w14:paraId="127EE47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290F7EA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216E349F"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40FA587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X141</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5F205EFD"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77E8EB9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The uav-Config can be configured or released by the RRCReconfiguration. Naturally, the configured uav-Config-r18 means that UE has been configured to be able to indicate the flight path availability for flight path update. Otherwise, if the uav-Config-r18 is not configured, the UE </w:t>
            </w:r>
            <w:proofErr w:type="gramStart"/>
            <w:r w:rsidRPr="002D6A40">
              <w:rPr>
                <w:rFonts w:ascii="Calibri" w:eastAsia="Times New Roman" w:hAnsi="Calibri" w:cs="Calibri"/>
                <w:color w:val="000000"/>
                <w:kern w:val="0"/>
                <w:sz w:val="20"/>
                <w:szCs w:val="20"/>
                <w14:ligatures w14:val="none"/>
              </w:rPr>
              <w:t>is not been</w:t>
            </w:r>
            <w:proofErr w:type="gramEnd"/>
            <w:r w:rsidRPr="002D6A40">
              <w:rPr>
                <w:rFonts w:ascii="Calibri" w:eastAsia="Times New Roman" w:hAnsi="Calibri" w:cs="Calibri"/>
                <w:color w:val="000000"/>
                <w:kern w:val="0"/>
                <w:sz w:val="20"/>
                <w:szCs w:val="20"/>
                <w14:ligatures w14:val="none"/>
              </w:rPr>
              <w:t xml:space="preserve"> configured to indicate flight path update. Hence, the case uav-Config is not configured should be excluded for the note.  This RIL is also applicable to 5.3.7.5 and 5.7.4.2</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3DA4193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If uav-Config is configured but neither flightPathUpdateDistanceThr nor flightPathUpdateTimeThr is configured, it is up to UE implementation whether to include flightPathInfoAvailable when updated flight path information is available.</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5B672BF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In RRCSetup case, we have only this: "2</w:t>
            </w:r>
            <w:proofErr w:type="gramStart"/>
            <w:r w:rsidRPr="002D6A40">
              <w:rPr>
                <w:rFonts w:ascii="Calibri" w:eastAsia="Times New Roman" w:hAnsi="Calibri" w:cs="Calibri"/>
                <w:color w:val="000000"/>
                <w:kern w:val="0"/>
                <w:sz w:val="20"/>
                <w:szCs w:val="20"/>
                <w14:ligatures w14:val="none"/>
              </w:rPr>
              <w:t>&gt;  if</w:t>
            </w:r>
            <w:proofErr w:type="gramEnd"/>
            <w:r w:rsidRPr="002D6A40">
              <w:rPr>
                <w:rFonts w:ascii="Calibri" w:eastAsia="Times New Roman" w:hAnsi="Calibri" w:cs="Calibri"/>
                <w:color w:val="000000"/>
                <w:kern w:val="0"/>
                <w:sz w:val="20"/>
                <w:szCs w:val="20"/>
                <w14:ligatures w14:val="none"/>
              </w:rPr>
              <w:t xml:space="preserve"> the UE has flight path information available: 3&gt;  include flightPathInfoAvailable;" i.e. UE doesn't check the presence of UAV-Config.  In my understanding as rapporteur, if the network does not configure any thresholds, the UE is free to provide the </w:t>
            </w:r>
            <w:proofErr w:type="gramStart"/>
            <w:r w:rsidRPr="002D6A40">
              <w:rPr>
                <w:rFonts w:ascii="Calibri" w:eastAsia="Times New Roman" w:hAnsi="Calibri" w:cs="Calibri"/>
                <w:color w:val="000000"/>
                <w:kern w:val="0"/>
                <w:sz w:val="20"/>
                <w:szCs w:val="20"/>
                <w14:ligatures w14:val="none"/>
              </w:rPr>
              <w:t>one bit</w:t>
            </w:r>
            <w:proofErr w:type="gramEnd"/>
            <w:r w:rsidRPr="002D6A40">
              <w:rPr>
                <w:rFonts w:ascii="Calibri" w:eastAsia="Times New Roman" w:hAnsi="Calibri" w:cs="Calibri"/>
                <w:color w:val="000000"/>
                <w:kern w:val="0"/>
                <w:sz w:val="20"/>
                <w:szCs w:val="20"/>
                <w14:ligatures w14:val="none"/>
              </w:rPr>
              <w:t xml:space="preserve"> flag flightPathInfoAvailable, however the network control whether to fetch the whole FP. So, the suggested change does not seem to be needed.</w:t>
            </w:r>
          </w:p>
        </w:tc>
        <w:tc>
          <w:tcPr>
            <w:tcW w:w="1109" w:type="dxa"/>
            <w:tcBorders>
              <w:top w:val="single" w:sz="4" w:space="0" w:color="auto"/>
              <w:left w:val="single" w:sz="4" w:space="0" w:color="auto"/>
              <w:bottom w:val="single" w:sz="4" w:space="0" w:color="auto"/>
              <w:right w:val="single" w:sz="4" w:space="0" w:color="auto"/>
            </w:tcBorders>
          </w:tcPr>
          <w:p w14:paraId="200E814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6782D69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2B6C4A00"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1BE5773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Z073</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4D1BC024"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CA6F74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The flightPathUpdateDistanceThr and flightPathUpdateTimeThr are only applicable for the update of previously provided waypoints.</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6C691C3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NOTE 0c: If neither flightPathUpdateDistanceThr nor flightPathUpdateTimeThr is configured, it is up to UE implementation whether to include flightPathInfoAvailable when only updated flight path information of previously provided waypoints is available.</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176D018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See X141, C006. We could try many things to beautify the </w:t>
            </w:r>
            <w:proofErr w:type="gramStart"/>
            <w:r w:rsidRPr="002D6A40">
              <w:rPr>
                <w:rFonts w:ascii="Calibri" w:eastAsia="Times New Roman" w:hAnsi="Calibri" w:cs="Calibri"/>
                <w:color w:val="000000"/>
                <w:kern w:val="0"/>
                <w:sz w:val="20"/>
                <w:szCs w:val="20"/>
                <w14:ligatures w14:val="none"/>
              </w:rPr>
              <w:t>NOTE</w:t>
            </w:r>
            <w:proofErr w:type="gramEnd"/>
            <w:r w:rsidRPr="002D6A40">
              <w:rPr>
                <w:rFonts w:ascii="Calibri" w:eastAsia="Times New Roman" w:hAnsi="Calibri" w:cs="Calibri"/>
                <w:color w:val="000000"/>
                <w:kern w:val="0"/>
                <w:sz w:val="20"/>
                <w:szCs w:val="20"/>
                <w14:ligatures w14:val="none"/>
              </w:rPr>
              <w:t xml:space="preserve"> but I think the current NOTE is sufficent.</w:t>
            </w:r>
          </w:p>
        </w:tc>
        <w:tc>
          <w:tcPr>
            <w:tcW w:w="1109" w:type="dxa"/>
            <w:tcBorders>
              <w:top w:val="single" w:sz="4" w:space="0" w:color="auto"/>
              <w:left w:val="single" w:sz="4" w:space="0" w:color="auto"/>
              <w:bottom w:val="single" w:sz="4" w:space="0" w:color="auto"/>
              <w:right w:val="single" w:sz="4" w:space="0" w:color="auto"/>
            </w:tcBorders>
          </w:tcPr>
          <w:p w14:paraId="4BE0D99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0C0809C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69FAF9F0"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45F9DA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H744</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132F8CE6"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223D11D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altitudeBasedNumberOfTriggeringCells is not captured in current spec.</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1BE17CF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add a procedure text </w:t>
            </w:r>
            <w:proofErr w:type="gramStart"/>
            <w:r w:rsidRPr="002D6A40">
              <w:rPr>
                <w:rFonts w:ascii="Calibri" w:eastAsia="Times New Roman" w:hAnsi="Calibri" w:cs="Calibri"/>
                <w:color w:val="000000"/>
                <w:kern w:val="0"/>
                <w:sz w:val="20"/>
                <w:szCs w:val="20"/>
                <w14:ligatures w14:val="none"/>
              </w:rPr>
              <w:t>for  altitudeBasedNumberOfTriggeringCells</w:t>
            </w:r>
            <w:proofErr w:type="gramEnd"/>
            <w:r w:rsidRPr="002D6A40">
              <w:rPr>
                <w:rFonts w:ascii="Calibri" w:eastAsia="Times New Roman" w:hAnsi="Calibri" w:cs="Calibri"/>
                <w:color w:val="000000"/>
                <w:kern w:val="0"/>
                <w:sz w:val="20"/>
                <w:szCs w:val="20"/>
                <w14:ligatures w14:val="none"/>
              </w:rPr>
              <w:t xml:space="preserve">  “2&gt; if the reportType is set to eventTriggered, and if the corresponding reportConfig includes altitudeBasedNumberOfTriggeringCellsList; 3&gt; if the UE is within an altitude range indicated by altitudeRange: 4&gt; The UE applies the corresponding numberOfTriggeringCells-r18, if present.  3&gt; else if the UE is outside all the altitude ranges indicated by altitudeRange: 4&gt; The UE keeps the last numberOfTriggeringCells-r18. NOTE x: If altitudeBasedNumberOfTriggeringCellsList is configured, it is up to UE implementation whether the UE keeps the cellsTriggeredList when the UE reaches the new altitude range.”</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34838A69"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see H746.</w:t>
            </w:r>
          </w:p>
        </w:tc>
        <w:tc>
          <w:tcPr>
            <w:tcW w:w="1109" w:type="dxa"/>
            <w:tcBorders>
              <w:top w:val="single" w:sz="4" w:space="0" w:color="auto"/>
              <w:left w:val="single" w:sz="4" w:space="0" w:color="auto"/>
              <w:bottom w:val="single" w:sz="4" w:space="0" w:color="auto"/>
              <w:right w:val="single" w:sz="4" w:space="0" w:color="auto"/>
            </w:tcBorders>
          </w:tcPr>
          <w:p w14:paraId="3561BBF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0174695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0688687B"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C534E4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J064</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02EE8975"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141BFF8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UE behaviour is missing for event AxHy when only H leaving condition is fulfilled.</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1127D15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For event AxHy, when only H leaving condition is fulfilled, the leaving condition applicable for the event is not related to cells and does not need measurement or layer 3 filtering. The description in this bullet and following sub-bullets is not applicable for this case. Suggest to add description in the following pharagraph as below: 2&gt; else if the reportType is set to eventTriggered and if the eventId is set to eventD1 or eventH1 or eventH2 or eventA3H1, eventA3H2, eventA4H1, eventA4H2, eventA5H1, eventA5H2 and if the leaving condition applicable for this event is fulfilled for the associated VarMeasReport within the VarMeasReportList for this measId during timeToTrigger defined within the VarMeasConfig for this event and if the leaving condition applicable for this event is fulfilled only due to Aerial UE’s altitude change for eventA3H1, eventA3H2, eventA4H1, eventA4H2, eventA5H1, and eventA5H2: 3&gt; if reportOnLeave is set to true for the corresponding reporting configuration: 4&gt; initiate the measurement reporting procedure, as specified in 5.5.5;</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3F95DC0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Disagree. For event AxHy, indeed conidtion is fulfilled for a cell if only H related condition is fulfilled (due to OR condition). See H745 also.</w:t>
            </w:r>
          </w:p>
        </w:tc>
        <w:tc>
          <w:tcPr>
            <w:tcW w:w="1109" w:type="dxa"/>
            <w:tcBorders>
              <w:top w:val="single" w:sz="4" w:space="0" w:color="auto"/>
              <w:left w:val="single" w:sz="4" w:space="0" w:color="auto"/>
              <w:bottom w:val="single" w:sz="4" w:space="0" w:color="auto"/>
              <w:right w:val="single" w:sz="4" w:space="0" w:color="auto"/>
            </w:tcBorders>
          </w:tcPr>
          <w:p w14:paraId="7326DCF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34F7190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191786B3"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3A1CF3F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L004</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03C887A1"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F07DBB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The DC scenario was not considered during the meeting. However, the uav-FlightPathAvailabiltyConfig description appears to be able to configure the SCG.</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2B85E0F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uav-FlightPathAvailabilityConfig in the field description.</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4A142E8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It is true DC was not explicitly discussed, but it was also not explicitly agreed as not supported. </w:t>
            </w:r>
            <w:proofErr w:type="gramStart"/>
            <w:r w:rsidRPr="002D6A40">
              <w:rPr>
                <w:rFonts w:ascii="Calibri" w:eastAsia="Times New Roman" w:hAnsi="Calibri" w:cs="Calibri"/>
                <w:color w:val="000000"/>
                <w:kern w:val="0"/>
                <w:sz w:val="20"/>
                <w:szCs w:val="20"/>
                <w14:ligatures w14:val="none"/>
              </w:rPr>
              <w:t>Similar to</w:t>
            </w:r>
            <w:proofErr w:type="gramEnd"/>
            <w:r w:rsidRPr="002D6A40">
              <w:rPr>
                <w:rFonts w:ascii="Calibri" w:eastAsia="Times New Roman" w:hAnsi="Calibri" w:cs="Calibri"/>
                <w:color w:val="000000"/>
                <w:kern w:val="0"/>
                <w:sz w:val="20"/>
                <w:szCs w:val="20"/>
                <w14:ligatures w14:val="none"/>
              </w:rPr>
              <w:t xml:space="preserve"> other features, UAV in DC scenario is not explicitly precluded. Suggest PropReject.</w:t>
            </w:r>
          </w:p>
        </w:tc>
        <w:tc>
          <w:tcPr>
            <w:tcW w:w="1109" w:type="dxa"/>
            <w:tcBorders>
              <w:top w:val="single" w:sz="4" w:space="0" w:color="auto"/>
              <w:left w:val="single" w:sz="4" w:space="0" w:color="auto"/>
              <w:bottom w:val="single" w:sz="4" w:space="0" w:color="auto"/>
              <w:right w:val="single" w:sz="4" w:space="0" w:color="auto"/>
            </w:tcBorders>
          </w:tcPr>
          <w:p w14:paraId="034915B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25D28A7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0679C18B"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36974EB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Z071</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65B41D45"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49D3C8E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The field description of flightPathInfoAvailable-r18 is missing. Same </w:t>
            </w:r>
            <w:proofErr w:type="gramStart"/>
            <w:r w:rsidRPr="002D6A40">
              <w:rPr>
                <w:rFonts w:ascii="Calibri" w:eastAsia="Times New Roman" w:hAnsi="Calibri" w:cs="Calibri"/>
                <w:color w:val="000000"/>
                <w:kern w:val="0"/>
                <w:sz w:val="20"/>
                <w:szCs w:val="20"/>
                <w14:ligatures w14:val="none"/>
              </w:rPr>
              <w:t>in  RRCSetupComplete</w:t>
            </w:r>
            <w:proofErr w:type="gramEnd"/>
            <w:r w:rsidRPr="002D6A40">
              <w:rPr>
                <w:rFonts w:ascii="Calibri" w:eastAsia="Times New Roman" w:hAnsi="Calibri" w:cs="Calibri"/>
                <w:color w:val="000000"/>
                <w:kern w:val="0"/>
                <w:sz w:val="20"/>
                <w:szCs w:val="20"/>
                <w14:ligatures w14:val="none"/>
              </w:rPr>
              <w:t>,RRCResumeComplete,RRCReconfigurationComplete,RRCReestablishmentComplete.</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5CCEB11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 add field description for flightPathInfoAvailable-r18 as following: Indicates UE has flight path information available.</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006C862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I think the procedural text is very clear. </w:t>
            </w:r>
            <w:proofErr w:type="gramStart"/>
            <w:r w:rsidRPr="002D6A40">
              <w:rPr>
                <w:rFonts w:ascii="Calibri" w:eastAsia="Times New Roman" w:hAnsi="Calibri" w:cs="Calibri"/>
                <w:color w:val="000000"/>
                <w:kern w:val="0"/>
                <w:sz w:val="20"/>
                <w:szCs w:val="20"/>
                <w14:ligatures w14:val="none"/>
              </w:rPr>
              <w:t>So</w:t>
            </w:r>
            <w:proofErr w:type="gramEnd"/>
            <w:r w:rsidRPr="002D6A40">
              <w:rPr>
                <w:rFonts w:ascii="Calibri" w:eastAsia="Times New Roman" w:hAnsi="Calibri" w:cs="Calibri"/>
                <w:color w:val="000000"/>
                <w:kern w:val="0"/>
                <w:sz w:val="20"/>
                <w:szCs w:val="20"/>
                <w14:ligatures w14:val="none"/>
              </w:rPr>
              <w:t xml:space="preserve"> no need to overload with field descriptions as the field description doesn't add anything. We never added that in LTE also. Suggesting PropReject, but if companies have different view, open to add.</w:t>
            </w:r>
          </w:p>
        </w:tc>
        <w:tc>
          <w:tcPr>
            <w:tcW w:w="1109" w:type="dxa"/>
            <w:tcBorders>
              <w:top w:val="single" w:sz="4" w:space="0" w:color="auto"/>
              <w:left w:val="single" w:sz="4" w:space="0" w:color="auto"/>
              <w:bottom w:val="single" w:sz="4" w:space="0" w:color="auto"/>
              <w:right w:val="single" w:sz="4" w:space="0" w:color="auto"/>
            </w:tcBorders>
          </w:tcPr>
          <w:p w14:paraId="5E63C5A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34A3AEE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0DF889FE"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08029B03"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L002</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67016754"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BE5E5E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The UE behaviour when the field is absent is not specifically described in procedure 5.2.2.4.3. It can be set to Need R in the same way for consistency with the existing List (e.g., without suffix).</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7DB2517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Need S to Need R</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3CED48E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Disagree with comment. Indeed there is description on absence of</w:t>
            </w:r>
            <w:proofErr w:type="gramStart"/>
            <w:r w:rsidRPr="002D6A40">
              <w:rPr>
                <w:rFonts w:ascii="Calibri" w:eastAsia="Times New Roman" w:hAnsi="Calibri" w:cs="Calibri"/>
                <w:color w:val="000000"/>
                <w:kern w:val="0"/>
                <w:sz w:val="20"/>
                <w:szCs w:val="20"/>
                <w14:ligatures w14:val="none"/>
              </w:rPr>
              <w:t xml:space="preserve"> ..</w:t>
            </w:r>
            <w:proofErr w:type="gramEnd"/>
            <w:r w:rsidRPr="002D6A40">
              <w:rPr>
                <w:rFonts w:ascii="Calibri" w:eastAsia="Times New Roman" w:hAnsi="Calibri" w:cs="Calibri"/>
                <w:color w:val="000000"/>
                <w:kern w:val="0"/>
                <w:sz w:val="20"/>
                <w:szCs w:val="20"/>
                <w14:ligatures w14:val="none"/>
              </w:rPr>
              <w:t>Aerial. Also, this is consistent to the original field:</w:t>
            </w:r>
            <w:r w:rsidRPr="002D6A40">
              <w:rPr>
                <w:rFonts w:ascii="Calibri" w:eastAsia="Times New Roman" w:hAnsi="Calibri" w:cs="Calibri"/>
                <w:color w:val="000000"/>
                <w:kern w:val="0"/>
                <w:sz w:val="20"/>
                <w:szCs w:val="20"/>
                <w14:ligatures w14:val="none"/>
              </w:rPr>
              <w:br/>
              <w:t xml:space="preserve">frequencyBandList                   MultiFrequencyBandListNR-SIB                    </w:t>
            </w:r>
            <w:proofErr w:type="gramStart"/>
            <w:r w:rsidRPr="002D6A40">
              <w:rPr>
                <w:rFonts w:ascii="Calibri" w:eastAsia="Times New Roman" w:hAnsi="Calibri" w:cs="Calibri"/>
                <w:color w:val="000000"/>
                <w:kern w:val="0"/>
                <w:sz w:val="20"/>
                <w:szCs w:val="20"/>
                <w14:ligatures w14:val="none"/>
              </w:rPr>
              <w:t xml:space="preserve">OPTIONAL,   </w:t>
            </w:r>
            <w:proofErr w:type="gramEnd"/>
            <w:r w:rsidRPr="002D6A40">
              <w:rPr>
                <w:rFonts w:ascii="Calibri" w:eastAsia="Times New Roman" w:hAnsi="Calibri" w:cs="Calibri"/>
                <w:color w:val="000000"/>
                <w:kern w:val="0"/>
                <w:sz w:val="20"/>
                <w:szCs w:val="20"/>
                <w14:ligatures w14:val="none"/>
              </w:rPr>
              <w:t xml:space="preserve">    -- Need S</w:t>
            </w:r>
          </w:p>
        </w:tc>
        <w:tc>
          <w:tcPr>
            <w:tcW w:w="1109" w:type="dxa"/>
            <w:tcBorders>
              <w:top w:val="single" w:sz="4" w:space="0" w:color="auto"/>
              <w:left w:val="single" w:sz="4" w:space="0" w:color="auto"/>
              <w:bottom w:val="single" w:sz="4" w:space="0" w:color="auto"/>
              <w:right w:val="single" w:sz="4" w:space="0" w:color="auto"/>
            </w:tcBorders>
          </w:tcPr>
          <w:p w14:paraId="7612C91D"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49BA5FC3"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388DAE65"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12D29A1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S172</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346D018C"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54E1385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SIB12 is used for A2S communication as well.</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5F3C463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with "SIB12 contains NR sidelink communication/discovery configuration/A2X communication"</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265D89B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9507E9">
              <w:rPr>
                <w:rFonts w:ascii="Calibri" w:eastAsia="Times New Roman" w:hAnsi="Calibri" w:cs="Calibri"/>
                <w:color w:val="000000"/>
                <w:kern w:val="0"/>
                <w:sz w:val="20"/>
                <w:szCs w:val="20"/>
                <w14:ligatures w14:val="none"/>
              </w:rPr>
              <w:t>QC v224: See H743. If the definition of “NR sidelink comm” includes A2X, then we can avoid further changes, just like we don’t say this is for V2X also? Suggesting PropReject.</w:t>
            </w:r>
          </w:p>
        </w:tc>
        <w:tc>
          <w:tcPr>
            <w:tcW w:w="1109" w:type="dxa"/>
            <w:tcBorders>
              <w:top w:val="single" w:sz="4" w:space="0" w:color="auto"/>
              <w:left w:val="single" w:sz="4" w:space="0" w:color="auto"/>
              <w:bottom w:val="single" w:sz="4" w:space="0" w:color="auto"/>
              <w:right w:val="single" w:sz="4" w:space="0" w:color="auto"/>
            </w:tcBorders>
          </w:tcPr>
          <w:p w14:paraId="6D77EE2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2CF7C6AD"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32528018"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2E682079"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E083</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6BB29C3E"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E20F20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See RIL E047 in definition sections.</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10F0F76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 aerial UE" and only say "UE capable of A2x communication". Applies twice in this filed desciption.</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074F87C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See E047</w:t>
            </w:r>
          </w:p>
        </w:tc>
        <w:tc>
          <w:tcPr>
            <w:tcW w:w="1109" w:type="dxa"/>
            <w:tcBorders>
              <w:top w:val="single" w:sz="4" w:space="0" w:color="auto"/>
              <w:left w:val="single" w:sz="4" w:space="0" w:color="auto"/>
              <w:bottom w:val="single" w:sz="4" w:space="0" w:color="auto"/>
              <w:right w:val="single" w:sz="4" w:space="0" w:color="auto"/>
            </w:tcBorders>
          </w:tcPr>
          <w:p w14:paraId="1119A07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1F2D924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36673AC7"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2208F6A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E084</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4CEC4282"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1EC0522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See RIL E047 in definition sections.</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531BEB8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 aerial UE" and only say "UE capable of A2x communication".</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712823B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See E047</w:t>
            </w:r>
          </w:p>
        </w:tc>
        <w:tc>
          <w:tcPr>
            <w:tcW w:w="1109" w:type="dxa"/>
            <w:tcBorders>
              <w:top w:val="single" w:sz="4" w:space="0" w:color="auto"/>
              <w:left w:val="single" w:sz="4" w:space="0" w:color="auto"/>
              <w:bottom w:val="single" w:sz="4" w:space="0" w:color="auto"/>
              <w:right w:val="single" w:sz="4" w:space="0" w:color="auto"/>
            </w:tcBorders>
          </w:tcPr>
          <w:p w14:paraId="2BEFE73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2D8730C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066A353C"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3146C12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Z076</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026BEADB"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011D7B33"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It is still unclear when altitude range overlaps, which ssb-ToMeasure is applied by the UE. We think a simple way is to apply the combination of ssb-ToMeasure of the overlapped altitude ranges.</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630C0A6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 add description as following: List of altitude-dependent ssb-ToMeasure. When the UE is within an altitude range indicated by altitudeRange, it ignores the ssb-ToMeasure (without suffix</w:t>
            </w:r>
            <w:proofErr w:type="gramStart"/>
            <w:r w:rsidRPr="002D6A40">
              <w:rPr>
                <w:rFonts w:ascii="Calibri" w:eastAsia="Times New Roman" w:hAnsi="Calibri" w:cs="Calibri"/>
                <w:color w:val="000000"/>
                <w:kern w:val="0"/>
                <w:sz w:val="20"/>
                <w:szCs w:val="20"/>
                <w14:ligatures w14:val="none"/>
              </w:rPr>
              <w:t>), and</w:t>
            </w:r>
            <w:proofErr w:type="gramEnd"/>
            <w:r w:rsidRPr="002D6A40">
              <w:rPr>
                <w:rFonts w:ascii="Calibri" w:eastAsia="Times New Roman" w:hAnsi="Calibri" w:cs="Calibri"/>
                <w:color w:val="000000"/>
                <w:kern w:val="0"/>
                <w:sz w:val="20"/>
                <w:szCs w:val="20"/>
                <w14:ligatures w14:val="none"/>
              </w:rPr>
              <w:t xml:space="preserve"> applies the corresponding ssb-ToMeasure-r18 if present, otherwise measures on all SS-blocks if ssb-ToMeasure-r18 is absent. When the UE is within more than one overlapped altitude ranges, it applies the combination of the corresponding ssb-ToMeasure-r18 of the overlapped altitude </w:t>
            </w:r>
            <w:proofErr w:type="gramStart"/>
            <w:r w:rsidRPr="002D6A40">
              <w:rPr>
                <w:rFonts w:ascii="Calibri" w:eastAsia="Times New Roman" w:hAnsi="Calibri" w:cs="Calibri"/>
                <w:color w:val="000000"/>
                <w:kern w:val="0"/>
                <w:sz w:val="20"/>
                <w:szCs w:val="20"/>
                <w14:ligatures w14:val="none"/>
              </w:rPr>
              <w:t>ranges.When</w:t>
            </w:r>
            <w:proofErr w:type="gramEnd"/>
            <w:r w:rsidRPr="002D6A40">
              <w:rPr>
                <w:rFonts w:ascii="Calibri" w:eastAsia="Times New Roman" w:hAnsi="Calibri" w:cs="Calibri"/>
                <w:color w:val="000000"/>
                <w:kern w:val="0"/>
                <w:sz w:val="20"/>
                <w:szCs w:val="20"/>
                <w14:ligatures w14:val="none"/>
              </w:rPr>
              <w:t xml:space="preserve"> the UE is outside all the altitude ranges indicated by altitudeRange (if any), ssb-ToMeasure (without suffix) applies.</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5FF6F43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The proposal in R2-2312231 was 'noted' after discussion in RAN2#124. So, this was not agreed.</w:t>
            </w:r>
          </w:p>
        </w:tc>
        <w:tc>
          <w:tcPr>
            <w:tcW w:w="1109" w:type="dxa"/>
            <w:tcBorders>
              <w:top w:val="single" w:sz="4" w:space="0" w:color="auto"/>
              <w:left w:val="single" w:sz="4" w:space="0" w:color="auto"/>
              <w:bottom w:val="single" w:sz="4" w:space="0" w:color="auto"/>
              <w:right w:val="single" w:sz="4" w:space="0" w:color="auto"/>
            </w:tcBorders>
          </w:tcPr>
          <w:p w14:paraId="2003A59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46F37F5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1FD7D10A"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3388EA7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E123</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2698468E"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AD76F3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Given that the flight path availability indication is a separate capability, it is understood that this is only relevant for aerial UE operations.</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75D211E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the part "for Aerial UE operation"</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1704C579"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During CR phase, in earlier version, this part 'for Aerial operation' was not there and was added based on </w:t>
            </w:r>
            <w:proofErr w:type="gramStart"/>
            <w:r w:rsidRPr="002D6A40">
              <w:rPr>
                <w:rFonts w:ascii="Calibri" w:eastAsia="Times New Roman" w:hAnsi="Calibri" w:cs="Calibri"/>
                <w:color w:val="000000"/>
                <w:kern w:val="0"/>
                <w:sz w:val="20"/>
                <w:szCs w:val="20"/>
                <w14:ligatures w14:val="none"/>
              </w:rPr>
              <w:t>companies</w:t>
            </w:r>
            <w:proofErr w:type="gramEnd"/>
            <w:r w:rsidRPr="002D6A40">
              <w:rPr>
                <w:rFonts w:ascii="Calibri" w:eastAsia="Times New Roman" w:hAnsi="Calibri" w:cs="Calibri"/>
                <w:color w:val="000000"/>
                <w:kern w:val="0"/>
                <w:sz w:val="20"/>
                <w:szCs w:val="20"/>
                <w14:ligatures w14:val="none"/>
              </w:rPr>
              <w:t xml:space="preserve"> comments. Let's not go back and rediscuss.</w:t>
            </w:r>
          </w:p>
        </w:tc>
        <w:tc>
          <w:tcPr>
            <w:tcW w:w="1109" w:type="dxa"/>
            <w:tcBorders>
              <w:top w:val="single" w:sz="4" w:space="0" w:color="auto"/>
              <w:left w:val="single" w:sz="4" w:space="0" w:color="auto"/>
              <w:bottom w:val="single" w:sz="4" w:space="0" w:color="auto"/>
              <w:right w:val="single" w:sz="4" w:space="0" w:color="auto"/>
            </w:tcBorders>
          </w:tcPr>
          <w:p w14:paraId="2D18799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1EFE60E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3E3C2E3C"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357B27AD"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H746</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50ADF6C8"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CE135D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altitudeBasedNumberOfTriggeringCells is not captured in currect spec.</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26DA60A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add a new ASN.1 structure       altitudeBasedNumberOfTriggeringCellsList-r18   setupRelease {AltitudeBasedNumberOfTriggeringCellsList-r18}    OPTIONAL   -- Need M  AltitudeBasedNumberOfTriggeringCellsList-r18 ::= SEQUENCE (SIZE (1..maxNrofAltitudeRanges-r18)) OF AltitudeBasedNumberOfTriggeringCells-r18 AltitudeBasedNumberOfTriggeringCells-r18 ::= SEQUENCE {  altitudeRange-r18     SEQUENCE {       altitudeMin-r18       Altitude-r18   OPTIONAL,  -- Need S       altitudeMax-r18       Altitude-r18   OPTIONAL,  -- Need S       altitudeHyst-r18      HysteresisAltitude-r18     OPTIONAL  -- Need S    },    numberOfTriggeringCells-r18   INTEGER (2..maxCellReport)     OPTIONAL  -- Need S }</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22B9C1D4" w14:textId="77777777" w:rsidR="00747C46" w:rsidRDefault="00747C46" w:rsidP="0034642D">
            <w:pPr>
              <w:spacing w:after="0" w:line="240" w:lineRule="auto"/>
              <w:rPr>
                <w:rFonts w:ascii="Calibri" w:eastAsia="Times New Roman" w:hAnsi="Calibri" w:cs="Calibri"/>
                <w:color w:val="000000"/>
                <w:kern w:val="0"/>
                <w:sz w:val="20"/>
                <w:szCs w:val="20"/>
                <w14:ligatures w14:val="none"/>
              </w:rPr>
            </w:pPr>
            <w:proofErr w:type="gramStart"/>
            <w:r w:rsidRPr="002D6A40">
              <w:rPr>
                <w:rFonts w:ascii="Calibri" w:eastAsia="Times New Roman" w:hAnsi="Calibri" w:cs="Calibri"/>
                <w:color w:val="000000"/>
                <w:kern w:val="0"/>
                <w:sz w:val="20"/>
                <w:szCs w:val="20"/>
                <w14:ligatures w14:val="none"/>
              </w:rPr>
              <w:t>Ericsson:agree</w:t>
            </w:r>
            <w:proofErr w:type="gramEnd"/>
            <w:r w:rsidRPr="002D6A40">
              <w:rPr>
                <w:rFonts w:ascii="Calibri" w:eastAsia="Times New Roman" w:hAnsi="Calibri" w:cs="Calibri"/>
                <w:color w:val="000000"/>
                <w:kern w:val="0"/>
                <w:sz w:val="20"/>
                <w:szCs w:val="20"/>
                <w14:ligatures w14:val="none"/>
              </w:rPr>
              <w:t xml:space="preserve">.  </w:t>
            </w:r>
          </w:p>
          <w:p w14:paraId="4B4DA47A" w14:textId="77777777" w:rsidR="00747C46"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v188 as CR rapp: There was no agreement to add altitude-based numberofTriggeringCells specifically. In </w:t>
            </w:r>
            <w:proofErr w:type="gramStart"/>
            <w:r w:rsidRPr="002D6A40">
              <w:rPr>
                <w:rFonts w:ascii="Calibri" w:eastAsia="Times New Roman" w:hAnsi="Calibri" w:cs="Calibri"/>
                <w:color w:val="000000"/>
                <w:kern w:val="0"/>
                <w:sz w:val="20"/>
                <w:szCs w:val="20"/>
                <w14:ligatures w14:val="none"/>
              </w:rPr>
              <w:t>fact</w:t>
            </w:r>
            <w:proofErr w:type="gramEnd"/>
            <w:r w:rsidRPr="002D6A40">
              <w:rPr>
                <w:rFonts w:ascii="Calibri" w:eastAsia="Times New Roman" w:hAnsi="Calibri" w:cs="Calibri"/>
                <w:color w:val="000000"/>
                <w:kern w:val="0"/>
                <w:sz w:val="20"/>
                <w:szCs w:val="20"/>
                <w14:ligatures w14:val="none"/>
              </w:rPr>
              <w:t xml:space="preserve"> RAN2#122 agreed "This will be applied to all height dependent MR parameters." which refers to " the combination of event Ax and event Hx", and in RAN2#123 it was agreed again "New event type is introduced to implement both height-dependent MR configuration and combination of events". PS – I removed the square brackets from the ‘proposed change’ in RIL since that was not being extracted by the macro.  </w:t>
            </w:r>
          </w:p>
          <w:p w14:paraId="7CABBA9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Nokia – Jerediah: Agreed. The topic of a list of altitude-dependent numberOfTriggeringCells came up during online discussion, but we did not agree to include such a list. In fact, configuring an altitude-dependent Event such as A3H1 with numberOfTriggeringCells inherently makes numberOfTriggeringCells altitude-dependent.  QC as rapp: I assume Nokia’s ‘agreed’ means agreed to rapp comment based on the description (and disagreed with the RIL proposal).</w:t>
            </w:r>
          </w:p>
        </w:tc>
        <w:tc>
          <w:tcPr>
            <w:tcW w:w="1109" w:type="dxa"/>
            <w:tcBorders>
              <w:top w:val="single" w:sz="4" w:space="0" w:color="auto"/>
              <w:left w:val="single" w:sz="4" w:space="0" w:color="auto"/>
              <w:bottom w:val="single" w:sz="4" w:space="0" w:color="auto"/>
              <w:right w:val="single" w:sz="4" w:space="0" w:color="auto"/>
            </w:tcBorders>
          </w:tcPr>
          <w:p w14:paraId="6321ACE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1DF43FB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10DCEC79"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25C691D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H747</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4DD570A5"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104F42B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altitudeBasedNumberOfTriggeringCells is not captured in currect spec.</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4BBFE323"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add a new filed </w:t>
            </w:r>
            <w:proofErr w:type="gramStart"/>
            <w:r w:rsidRPr="002D6A40">
              <w:rPr>
                <w:rFonts w:ascii="Calibri" w:eastAsia="Times New Roman" w:hAnsi="Calibri" w:cs="Calibri"/>
                <w:color w:val="000000"/>
                <w:kern w:val="0"/>
                <w:sz w:val="20"/>
                <w:szCs w:val="20"/>
                <w14:ligatures w14:val="none"/>
              </w:rPr>
              <w:t>description  altitudeBasedNumberOfTriggeringCellsList</w:t>
            </w:r>
            <w:proofErr w:type="gramEnd"/>
            <w:r w:rsidRPr="002D6A40">
              <w:rPr>
                <w:rFonts w:ascii="Calibri" w:eastAsia="Times New Roman" w:hAnsi="Calibri" w:cs="Calibri"/>
                <w:color w:val="000000"/>
                <w:kern w:val="0"/>
                <w:sz w:val="20"/>
                <w:szCs w:val="20"/>
                <w14:ligatures w14:val="none"/>
              </w:rPr>
              <w:t xml:space="preserve">  List of altitude-dependent NumberOfTriggeringCells. When the UE is within an altitude range indicated by altitudeRange, it applies the corresponding numberOfTriggeringCells-r18 if present. When the UE is outside all the altitude ranges indicated by altitudeRange (if any), the last numberOfTriggeringCells-r18 will be used. For each altitude range, altitudeMin indicates the minimum altitude in meters, altitudeMax indicates the maximum altitude in meters relative to sea level, and if included, altitudeHyst indicates hysteresis in meters for determination of the altitude range. I.e., when altitudeHyst is configured for an altitude range, the UE considers itself to have entered the range if altitudeMin ≤ UE altitude ≤ altitudeMax and after entering the range considers itself to be in the range while (altitudeMin – altitudeHyst) ≤ UE altitude ≤ (altitudeMax + altitudeHyst).  For each altitudeRange, if altitudeMin is absent, value minAltitude-r18 is used and if altitudeMax is absent, value maxAltitude-r18 is used.</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1B79A27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see H746.</w:t>
            </w:r>
          </w:p>
        </w:tc>
        <w:tc>
          <w:tcPr>
            <w:tcW w:w="1109" w:type="dxa"/>
            <w:tcBorders>
              <w:top w:val="single" w:sz="4" w:space="0" w:color="auto"/>
              <w:left w:val="single" w:sz="4" w:space="0" w:color="auto"/>
              <w:bottom w:val="single" w:sz="4" w:space="0" w:color="auto"/>
              <w:right w:val="single" w:sz="4" w:space="0" w:color="auto"/>
            </w:tcBorders>
          </w:tcPr>
          <w:p w14:paraId="24596BA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158455D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3A332058"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0668A49E"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E126</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777FFFE3"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0488940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The IE name should be more explanatory of the </w:t>
            </w:r>
            <w:proofErr w:type="gramStart"/>
            <w:r w:rsidRPr="002D6A40">
              <w:rPr>
                <w:rFonts w:ascii="Calibri" w:eastAsia="Times New Roman" w:hAnsi="Calibri" w:cs="Calibri"/>
                <w:color w:val="000000"/>
                <w:kern w:val="0"/>
                <w:sz w:val="20"/>
                <w:szCs w:val="20"/>
                <w14:ligatures w14:val="none"/>
              </w:rPr>
              <w:t>functionality</w:t>
            </w:r>
            <w:proofErr w:type="gramEnd"/>
            <w:r w:rsidRPr="002D6A40">
              <w:rPr>
                <w:rFonts w:ascii="Calibri" w:eastAsia="Times New Roman" w:hAnsi="Calibri" w:cs="Calibri"/>
                <w:color w:val="000000"/>
                <w:kern w:val="0"/>
                <w:sz w:val="20"/>
                <w:szCs w:val="20"/>
                <w14:ligatures w14:val="none"/>
              </w:rPr>
              <w:t xml:space="preserve"> and it is also commonplace in the specification to have such descriptive IE-naming.</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06A3FEC1"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the name of the IE UAV-Config to FlightPathUpdateThrConfig</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5C70F1A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v188 as CR rapp] This comment was raised by one company during CR drafting phase </w:t>
            </w:r>
            <w:proofErr w:type="gramStart"/>
            <w:r w:rsidRPr="002D6A40">
              <w:rPr>
                <w:rFonts w:ascii="Calibri" w:eastAsia="Times New Roman" w:hAnsi="Calibri" w:cs="Calibri"/>
                <w:color w:val="000000"/>
                <w:kern w:val="0"/>
                <w:sz w:val="20"/>
                <w:szCs w:val="20"/>
                <w14:ligatures w14:val="none"/>
              </w:rPr>
              <w:t>also</w:t>
            </w:r>
            <w:proofErr w:type="gramEnd"/>
            <w:r w:rsidRPr="002D6A40">
              <w:rPr>
                <w:rFonts w:ascii="Calibri" w:eastAsia="Times New Roman" w:hAnsi="Calibri" w:cs="Calibri"/>
                <w:color w:val="000000"/>
                <w:kern w:val="0"/>
                <w:sz w:val="20"/>
                <w:szCs w:val="20"/>
                <w14:ligatures w14:val="none"/>
              </w:rPr>
              <w:t xml:space="preserve"> but no other company seemed to support that comment. It was explained at that time </w:t>
            </w:r>
            <w:proofErr w:type="gramStart"/>
            <w:r w:rsidRPr="002D6A40">
              <w:rPr>
                <w:rFonts w:ascii="Calibri" w:eastAsia="Times New Roman" w:hAnsi="Calibri" w:cs="Calibri"/>
                <w:color w:val="000000"/>
                <w:kern w:val="0"/>
                <w:sz w:val="20"/>
                <w:szCs w:val="20"/>
                <w14:ligatures w14:val="none"/>
              </w:rPr>
              <w:t>that  flightPathUpdateThrConfig</w:t>
            </w:r>
            <w:proofErr w:type="gramEnd"/>
            <w:r w:rsidRPr="002D6A40">
              <w:rPr>
                <w:rFonts w:ascii="Calibri" w:eastAsia="Times New Roman" w:hAnsi="Calibri" w:cs="Calibri"/>
                <w:color w:val="000000"/>
                <w:kern w:val="0"/>
                <w:sz w:val="20"/>
                <w:szCs w:val="20"/>
                <w14:ligatures w14:val="none"/>
              </w:rPr>
              <w:t xml:space="preserve"> is already a field under the more general UAV-Config, and ellipsis is left for any future possible extensions. So, the parent IE does not need to specific to flight path. However, </w:t>
            </w:r>
            <w:proofErr w:type="gramStart"/>
            <w:r w:rsidRPr="002D6A40">
              <w:rPr>
                <w:rFonts w:ascii="Calibri" w:eastAsia="Times New Roman" w:hAnsi="Calibri" w:cs="Calibri"/>
                <w:color w:val="000000"/>
                <w:kern w:val="0"/>
                <w:sz w:val="20"/>
                <w:szCs w:val="20"/>
                <w14:ligatures w14:val="none"/>
              </w:rPr>
              <w:t>in light of</w:t>
            </w:r>
            <w:proofErr w:type="gramEnd"/>
            <w:r w:rsidRPr="002D6A40">
              <w:rPr>
                <w:rFonts w:ascii="Calibri" w:eastAsia="Times New Roman" w:hAnsi="Calibri" w:cs="Calibri"/>
                <w:color w:val="000000"/>
                <w:kern w:val="0"/>
                <w:sz w:val="20"/>
                <w:szCs w:val="20"/>
                <w14:ligatures w14:val="none"/>
              </w:rPr>
              <w:t xml:space="preserve"> RIL [E122], it seems reasonable to update it to Aerial-Config instead (which will also align with Aerial-Parameters in capabilities and 38.306).</w:t>
            </w:r>
          </w:p>
        </w:tc>
        <w:tc>
          <w:tcPr>
            <w:tcW w:w="1109" w:type="dxa"/>
            <w:tcBorders>
              <w:top w:val="single" w:sz="4" w:space="0" w:color="auto"/>
              <w:left w:val="single" w:sz="4" w:space="0" w:color="auto"/>
              <w:bottom w:val="single" w:sz="4" w:space="0" w:color="auto"/>
              <w:right w:val="single" w:sz="4" w:space="0" w:color="auto"/>
            </w:tcBorders>
          </w:tcPr>
          <w:p w14:paraId="73F36EB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5CEAE3D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1A4BBF5A"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66CB22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E119</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22FA4D85"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2</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777C9D43"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There is no point to have a SetupRelease structure within a parent IE which is also a SetupRelease structure. It would be good to declare these fields as integer and have Need R code. Much simpler implementation than the one that is currently in the ASN.1</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02AA0B2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Implement the following ASN.1 structure for UAV-Config: UAV-Config-r</w:t>
            </w:r>
            <w:proofErr w:type="gramStart"/>
            <w:r w:rsidRPr="002D6A40">
              <w:rPr>
                <w:rFonts w:ascii="Calibri" w:eastAsia="Times New Roman" w:hAnsi="Calibri" w:cs="Calibri"/>
                <w:color w:val="000000"/>
                <w:kern w:val="0"/>
                <w:sz w:val="20"/>
                <w:szCs w:val="20"/>
                <w14:ligatures w14:val="none"/>
              </w:rPr>
              <w:t>18 ::=</w:t>
            </w:r>
            <w:proofErr w:type="gramEnd"/>
            <w:r w:rsidRPr="002D6A40">
              <w:rPr>
                <w:rFonts w:ascii="Calibri" w:eastAsia="Times New Roman" w:hAnsi="Calibri" w:cs="Calibri"/>
                <w:color w:val="000000"/>
                <w:kern w:val="0"/>
                <w:sz w:val="20"/>
                <w:szCs w:val="20"/>
                <w14:ligatures w14:val="none"/>
              </w:rPr>
              <w:t xml:space="preserve"> SEQUENCE {     flightPathUpdateThrConfig-r18     SEQUENCE {         flightPathUpdateDistanceThr-r18   INTEGER (0..1023)          OPTIONAL, -- Need R         flightPathUpdateTimeThr-r18       INTEGER (0..16383)         OPTIONAL  -- Need R     }                                                                                             OPTIONAL, -- Need R     ... }</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507A9BBA"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This was discussed during CR drafting. The reason to have SetupRelease here as well is to allow each of the threshold separately configurable and releaseable.</w:t>
            </w:r>
          </w:p>
        </w:tc>
        <w:tc>
          <w:tcPr>
            <w:tcW w:w="1109" w:type="dxa"/>
            <w:tcBorders>
              <w:top w:val="single" w:sz="4" w:space="0" w:color="auto"/>
              <w:left w:val="single" w:sz="4" w:space="0" w:color="auto"/>
              <w:bottom w:val="single" w:sz="4" w:space="0" w:color="auto"/>
              <w:right w:val="single" w:sz="4" w:space="0" w:color="auto"/>
            </w:tcBorders>
          </w:tcPr>
          <w:p w14:paraId="0AB5102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5F389F7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6B794E5B"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66F8AEF8"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E144</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6D5D40AD"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2D870BD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This is applicable for both 331/306. The current definition of aerialUE-capability in 38.306 is ambiguous especially given that the network cannot take any action just based on reporting this "generic" capability. In addition, as all the features of the UAV have their own capability, it would be sufficient to report a subset of the individual capabilities to inform the network about the UEs aerial ability.</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30DEB6B0"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the general aerialUE-capability.</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6B134784"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Intel (Ziyi): From UE cap spec rapp point of view, it is suggested to be discussed in UAV. QC as CR rapp: This was heavily discussed earlier and based on explicit agreement in RAN2#124 "- Introduce a UE capability indication for NR to indicate that the UE supports Rel-18 UAV enhancements". Let's not try to revert previous agreements now.</w:t>
            </w:r>
          </w:p>
        </w:tc>
        <w:tc>
          <w:tcPr>
            <w:tcW w:w="1109" w:type="dxa"/>
            <w:tcBorders>
              <w:top w:val="single" w:sz="4" w:space="0" w:color="auto"/>
              <w:left w:val="single" w:sz="4" w:space="0" w:color="auto"/>
              <w:bottom w:val="single" w:sz="4" w:space="0" w:color="auto"/>
              <w:right w:val="single" w:sz="4" w:space="0" w:color="auto"/>
            </w:tcBorders>
          </w:tcPr>
          <w:p w14:paraId="5DAB7B0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169BA0E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6CCC36E5"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27BFE3F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S173</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0799F5D2"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38782067"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SL-BWP-Config is used for A2X communication</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737FE23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with "The IE SL-BWP-Config is used to configure the UE specific NR sidelink communication/discovery/positioning/A2X commuincation on one particular sidelink bandwidth part."</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0C1626C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QC as rapp: same comment as S172.</w:t>
            </w:r>
          </w:p>
        </w:tc>
        <w:tc>
          <w:tcPr>
            <w:tcW w:w="1109" w:type="dxa"/>
            <w:tcBorders>
              <w:top w:val="single" w:sz="4" w:space="0" w:color="auto"/>
              <w:left w:val="single" w:sz="4" w:space="0" w:color="auto"/>
              <w:bottom w:val="single" w:sz="4" w:space="0" w:color="auto"/>
              <w:right w:val="single" w:sz="4" w:space="0" w:color="auto"/>
            </w:tcBorders>
          </w:tcPr>
          <w:p w14:paraId="48DB89F9"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2948E6D5"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r w:rsidR="00747C46" w:rsidRPr="002D6A40" w14:paraId="50683548" w14:textId="77777777" w:rsidTr="00747C46">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162CDE6"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S174</w:t>
            </w:r>
          </w:p>
        </w:tc>
        <w:tc>
          <w:tcPr>
            <w:tcW w:w="630" w:type="dxa"/>
            <w:tcBorders>
              <w:top w:val="single" w:sz="4" w:space="0" w:color="auto"/>
              <w:left w:val="single" w:sz="4" w:space="0" w:color="auto"/>
              <w:bottom w:val="single" w:sz="4" w:space="0" w:color="auto"/>
              <w:right w:val="single" w:sz="4" w:space="0" w:color="auto"/>
            </w:tcBorders>
            <w:shd w:val="clear" w:color="auto" w:fill="auto"/>
            <w:noWrap/>
            <w:hideMark/>
          </w:tcPr>
          <w:p w14:paraId="7681E12B" w14:textId="77777777" w:rsidR="00747C46" w:rsidRPr="002D6A40" w:rsidRDefault="00747C46"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hideMark/>
          </w:tcPr>
          <w:p w14:paraId="6FA82F1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SL-ResourcePool is used for A2X communication</w:t>
            </w:r>
          </w:p>
        </w:tc>
        <w:tc>
          <w:tcPr>
            <w:tcW w:w="10077" w:type="dxa"/>
            <w:tcBorders>
              <w:top w:val="single" w:sz="4" w:space="0" w:color="auto"/>
              <w:left w:val="single" w:sz="4" w:space="0" w:color="auto"/>
              <w:bottom w:val="single" w:sz="4" w:space="0" w:color="auto"/>
              <w:right w:val="single" w:sz="4" w:space="0" w:color="auto"/>
            </w:tcBorders>
            <w:shd w:val="clear" w:color="auto" w:fill="auto"/>
            <w:hideMark/>
          </w:tcPr>
          <w:p w14:paraId="2224A5E2"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Change with " The IE SL-ResourcePool specifies the configuration information for NR sidelink communication resource pool/A2X communication resource pool."</w:t>
            </w:r>
          </w:p>
        </w:tc>
        <w:tc>
          <w:tcPr>
            <w:tcW w:w="8010" w:type="dxa"/>
            <w:tcBorders>
              <w:top w:val="single" w:sz="4" w:space="0" w:color="auto"/>
              <w:left w:val="single" w:sz="4" w:space="0" w:color="auto"/>
              <w:bottom w:val="single" w:sz="4" w:space="0" w:color="auto"/>
              <w:right w:val="single" w:sz="4" w:space="0" w:color="auto"/>
            </w:tcBorders>
            <w:shd w:val="clear" w:color="auto" w:fill="auto"/>
            <w:noWrap/>
            <w:hideMark/>
          </w:tcPr>
          <w:p w14:paraId="72FC9F0C"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sidRPr="009507E9">
              <w:rPr>
                <w:rFonts w:ascii="Calibri" w:eastAsia="Times New Roman" w:hAnsi="Calibri" w:cs="Calibri"/>
                <w:color w:val="000000"/>
                <w:kern w:val="0"/>
                <w:sz w:val="20"/>
                <w:szCs w:val="20"/>
                <w14:ligatures w14:val="none"/>
              </w:rPr>
              <w:t>QC as rapp: Same comment as S172.</w:t>
            </w:r>
          </w:p>
        </w:tc>
        <w:tc>
          <w:tcPr>
            <w:tcW w:w="1109" w:type="dxa"/>
            <w:tcBorders>
              <w:top w:val="single" w:sz="4" w:space="0" w:color="auto"/>
              <w:left w:val="single" w:sz="4" w:space="0" w:color="auto"/>
              <w:bottom w:val="single" w:sz="4" w:space="0" w:color="auto"/>
              <w:right w:val="single" w:sz="4" w:space="0" w:color="auto"/>
            </w:tcBorders>
          </w:tcPr>
          <w:p w14:paraId="606E884B"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PropReject</w:t>
            </w:r>
          </w:p>
        </w:tc>
        <w:tc>
          <w:tcPr>
            <w:tcW w:w="1926" w:type="dxa"/>
            <w:tcBorders>
              <w:top w:val="single" w:sz="4" w:space="0" w:color="auto"/>
              <w:left w:val="single" w:sz="4" w:space="0" w:color="auto"/>
              <w:bottom w:val="single" w:sz="4" w:space="0" w:color="auto"/>
              <w:right w:val="single" w:sz="4" w:space="0" w:color="auto"/>
            </w:tcBorders>
          </w:tcPr>
          <w:p w14:paraId="0B6F85AF" w14:textId="77777777" w:rsidR="00747C46" w:rsidRPr="002D6A40" w:rsidRDefault="00747C46" w:rsidP="0034642D">
            <w:pPr>
              <w:spacing w:after="0" w:line="240" w:lineRule="auto"/>
              <w:rPr>
                <w:rFonts w:ascii="Calibri" w:eastAsia="Times New Roman" w:hAnsi="Calibri" w:cs="Calibri"/>
                <w:color w:val="000000"/>
                <w:kern w:val="0"/>
                <w:sz w:val="20"/>
                <w:szCs w:val="20"/>
                <w14:ligatures w14:val="none"/>
              </w:rPr>
            </w:pPr>
          </w:p>
        </w:tc>
      </w:tr>
    </w:tbl>
    <w:p w14:paraId="67F6AA26" w14:textId="77777777" w:rsidR="00747C46" w:rsidRDefault="00747C46">
      <w:pPr>
        <w:rPr>
          <w:sz w:val="20"/>
          <w:szCs w:val="20"/>
        </w:rPr>
      </w:pPr>
    </w:p>
    <w:p w14:paraId="4E5110B2" w14:textId="0446C3A8" w:rsidR="00C8194E" w:rsidRDefault="0039475E" w:rsidP="0066280A">
      <w:pPr>
        <w:pStyle w:val="Proposal"/>
        <w:numPr>
          <w:ilvl w:val="0"/>
          <w:numId w:val="5"/>
        </w:numPr>
      </w:pPr>
      <w:bookmarkStart w:id="93" w:name="_Toc159145670"/>
      <w:bookmarkStart w:id="94" w:name="_Toc159145723"/>
      <w:bookmarkStart w:id="95" w:name="_Toc159145739"/>
      <w:bookmarkStart w:id="96" w:name="_Toc159145784"/>
      <w:bookmarkStart w:id="97" w:name="_Toc159145846"/>
      <w:bookmarkStart w:id="98" w:name="_Toc159147321"/>
      <w:bookmarkStart w:id="99" w:name="_Toc159148368"/>
      <w:bookmarkStart w:id="100" w:name="_Toc159148479"/>
      <w:bookmarkStart w:id="101" w:name="_Toc159169330"/>
      <w:bookmarkStart w:id="102" w:name="_Toc159169342"/>
      <w:bookmarkStart w:id="103" w:name="_Toc159169364"/>
      <w:bookmarkStart w:id="104" w:name="_Toc159181179"/>
      <w:bookmarkStart w:id="105" w:name="_Toc159181189"/>
      <w:r>
        <w:t xml:space="preserve">For </w:t>
      </w:r>
      <w:r w:rsidR="00A401E9">
        <w:t xml:space="preserve">NR </w:t>
      </w:r>
      <w:r w:rsidR="00A401E9" w:rsidRPr="00A401E9">
        <w:t>E047, E048, E121, C006, X141, Z073, H744, J064, L004, Z071, L002, S172, E083, E084, Z076, E123, H746, H747, E126, E119, E144, S173, S174</w:t>
      </w:r>
      <w:r>
        <w:t xml:space="preserve">: </w:t>
      </w:r>
      <w:r w:rsidR="005C44C8">
        <w:t xml:space="preserve">Change status to PropReject. </w:t>
      </w:r>
      <w:r w:rsidR="00745345">
        <w:t xml:space="preserve">No change </w:t>
      </w:r>
      <w:r w:rsidR="00AC78A6">
        <w:t xml:space="preserve">in spec </w:t>
      </w:r>
      <w:r w:rsidR="00745345">
        <w:t>is needed.</w:t>
      </w:r>
      <w:bookmarkEnd w:id="93"/>
      <w:bookmarkEnd w:id="94"/>
      <w:bookmarkEnd w:id="95"/>
      <w:bookmarkEnd w:id="96"/>
      <w:bookmarkEnd w:id="97"/>
      <w:bookmarkEnd w:id="98"/>
      <w:bookmarkEnd w:id="99"/>
      <w:bookmarkEnd w:id="100"/>
      <w:bookmarkEnd w:id="101"/>
      <w:bookmarkEnd w:id="102"/>
      <w:bookmarkEnd w:id="103"/>
      <w:bookmarkEnd w:id="104"/>
      <w:bookmarkEnd w:id="105"/>
      <w:r w:rsidR="00745345">
        <w:t xml:space="preserve"> </w:t>
      </w:r>
    </w:p>
    <w:p w14:paraId="1D50FEFA" w14:textId="77777777" w:rsidR="0066280A" w:rsidRDefault="0066280A" w:rsidP="00341903"/>
    <w:p w14:paraId="1042B907" w14:textId="77777777" w:rsidR="00547267" w:rsidRPr="00745EC4" w:rsidRDefault="00547267" w:rsidP="00547267">
      <w:pPr>
        <w:pStyle w:val="Heading2"/>
        <w:numPr>
          <w:ilvl w:val="1"/>
          <w:numId w:val="2"/>
        </w:numPr>
        <w:spacing w:line="276" w:lineRule="auto"/>
        <w:ind w:left="576" w:hanging="576"/>
        <w:rPr>
          <w:i w:val="0"/>
          <w:iCs w:val="0"/>
        </w:rPr>
      </w:pPr>
      <w:r w:rsidRPr="00745EC4">
        <w:rPr>
          <w:i w:val="0"/>
          <w:iCs w:val="0"/>
        </w:rPr>
        <w:t xml:space="preserve">RILs to be </w:t>
      </w:r>
      <w:proofErr w:type="gramStart"/>
      <w:r w:rsidRPr="00745EC4">
        <w:rPr>
          <w:i w:val="0"/>
          <w:iCs w:val="0"/>
        </w:rPr>
        <w:t>discussed</w:t>
      </w:r>
      <w:proofErr w:type="gramEnd"/>
    </w:p>
    <w:p w14:paraId="17F84869" w14:textId="77777777" w:rsidR="0009606A" w:rsidRDefault="0009606A" w:rsidP="00547267">
      <w:pPr>
        <w:rPr>
          <w:sz w:val="20"/>
          <w:szCs w:val="20"/>
        </w:rPr>
      </w:pPr>
    </w:p>
    <w:tbl>
      <w:tblPr>
        <w:tblW w:w="3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30"/>
        <w:gridCol w:w="8658"/>
        <w:gridCol w:w="9897"/>
        <w:gridCol w:w="8329"/>
        <w:gridCol w:w="1109"/>
        <w:gridCol w:w="1926"/>
      </w:tblGrid>
      <w:tr w:rsidR="0009606A" w:rsidRPr="002D6A40" w14:paraId="25089822" w14:textId="77777777" w:rsidTr="0034642D">
        <w:trPr>
          <w:tblHeader/>
        </w:trPr>
        <w:tc>
          <w:tcPr>
            <w:tcW w:w="700" w:type="dxa"/>
            <w:shd w:val="clear" w:color="auto" w:fill="auto"/>
            <w:noWrap/>
            <w:hideMark/>
          </w:tcPr>
          <w:p w14:paraId="49D68FF2" w14:textId="77777777" w:rsidR="0009606A" w:rsidRPr="002D6A40" w:rsidRDefault="0009606A"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ID</w:t>
            </w:r>
          </w:p>
        </w:tc>
        <w:tc>
          <w:tcPr>
            <w:tcW w:w="630" w:type="dxa"/>
            <w:shd w:val="clear" w:color="auto" w:fill="auto"/>
            <w:noWrap/>
            <w:hideMark/>
          </w:tcPr>
          <w:p w14:paraId="475D1ED7" w14:textId="77777777" w:rsidR="0009606A" w:rsidRPr="002D6A40" w:rsidRDefault="0009606A" w:rsidP="0034642D">
            <w:pPr>
              <w:spacing w:after="0" w:line="240" w:lineRule="auto"/>
              <w:jc w:val="center"/>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Class</w:t>
            </w:r>
          </w:p>
        </w:tc>
        <w:tc>
          <w:tcPr>
            <w:tcW w:w="8658" w:type="dxa"/>
            <w:shd w:val="clear" w:color="auto" w:fill="auto"/>
            <w:hideMark/>
          </w:tcPr>
          <w:p w14:paraId="5A74F578" w14:textId="77777777" w:rsidR="0009606A" w:rsidRPr="002D6A40" w:rsidRDefault="0009606A"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Description</w:t>
            </w:r>
          </w:p>
        </w:tc>
        <w:tc>
          <w:tcPr>
            <w:tcW w:w="9897" w:type="dxa"/>
            <w:shd w:val="clear" w:color="auto" w:fill="auto"/>
            <w:hideMark/>
          </w:tcPr>
          <w:p w14:paraId="53F9F4DA" w14:textId="77777777" w:rsidR="0009606A" w:rsidRPr="002D6A40" w:rsidRDefault="0009606A"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Proposed Change</w:t>
            </w:r>
          </w:p>
        </w:tc>
        <w:tc>
          <w:tcPr>
            <w:tcW w:w="8329" w:type="dxa"/>
            <w:shd w:val="clear" w:color="auto" w:fill="auto"/>
            <w:noWrap/>
            <w:hideMark/>
          </w:tcPr>
          <w:p w14:paraId="37333D7E" w14:textId="77777777" w:rsidR="0009606A" w:rsidRPr="002D6A40" w:rsidRDefault="0009606A" w:rsidP="0034642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Comments</w:t>
            </w:r>
          </w:p>
        </w:tc>
        <w:tc>
          <w:tcPr>
            <w:tcW w:w="1109" w:type="dxa"/>
          </w:tcPr>
          <w:p w14:paraId="43CACCA3" w14:textId="77777777" w:rsidR="0009606A" w:rsidRDefault="0009606A" w:rsidP="0034642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Proposed resolution</w:t>
            </w:r>
          </w:p>
        </w:tc>
        <w:tc>
          <w:tcPr>
            <w:tcW w:w="1926" w:type="dxa"/>
          </w:tcPr>
          <w:p w14:paraId="56195617" w14:textId="77777777" w:rsidR="0009606A" w:rsidRPr="002D6A40" w:rsidRDefault="0009606A" w:rsidP="0034642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Rapp NOTE</w:t>
            </w:r>
          </w:p>
        </w:tc>
      </w:tr>
      <w:tr w:rsidR="0009606A" w:rsidRPr="002D6A40" w14:paraId="47268301" w14:textId="77777777" w:rsidTr="0034642D">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55C119C8"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E129</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6C06E7CB" w14:textId="77777777" w:rsidR="0009606A" w:rsidRPr="002D6A40" w:rsidRDefault="0009606A"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5FF7444A"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Indicating an updated flight path availability during reestablishment is not straight forward. It should be discussed how to deal with the case when the UE reestablishes to a different cell (on a different gNB).</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2C03BA4D"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Consider removing the conditions for the UE to check for thresholds (to trigger flightpatavailability) and should indicate the flightpathavailability like a new flightpath.</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260EF9A3"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v188 as CR rapp] This was based on agreement "For RRCSetupComplete and RRCResumeComplete, UE doesn't check for the threshold(s) configuration for indicating FP availability (i.e. it is always like new FP available indication)." i.e. since RRCReest was not explicitly excluded. Since a Tdoc seems to have been planned, this can be discussed further based on Tdoc.</w:t>
            </w:r>
          </w:p>
        </w:tc>
        <w:tc>
          <w:tcPr>
            <w:tcW w:w="1109" w:type="dxa"/>
            <w:tcBorders>
              <w:top w:val="single" w:sz="4" w:space="0" w:color="auto"/>
              <w:left w:val="single" w:sz="4" w:space="0" w:color="auto"/>
              <w:bottom w:val="single" w:sz="4" w:space="0" w:color="auto"/>
              <w:right w:val="single" w:sz="4" w:space="0" w:color="auto"/>
            </w:tcBorders>
          </w:tcPr>
          <w:p w14:paraId="278B97A4" w14:textId="77777777" w:rsidR="0009606A"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ToDo</w:t>
            </w:r>
          </w:p>
        </w:tc>
        <w:tc>
          <w:tcPr>
            <w:tcW w:w="1926" w:type="dxa"/>
            <w:tcBorders>
              <w:top w:val="single" w:sz="4" w:space="0" w:color="auto"/>
              <w:left w:val="single" w:sz="4" w:space="0" w:color="auto"/>
              <w:bottom w:val="single" w:sz="4" w:space="0" w:color="auto"/>
              <w:right w:val="single" w:sz="4" w:space="0" w:color="auto"/>
            </w:tcBorders>
          </w:tcPr>
          <w:p w14:paraId="3145359D"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To be discussed based on Tdoc</w:t>
            </w:r>
          </w:p>
        </w:tc>
      </w:tr>
      <w:tr w:rsidR="0009606A" w:rsidRPr="002D6A40" w14:paraId="774C9D76" w14:textId="77777777" w:rsidTr="0034642D">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2B7C9555"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Z077</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65799ACB" w14:textId="77777777" w:rsidR="0009606A" w:rsidRPr="002D6A40" w:rsidRDefault="0009606A"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05345170"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According to RAN2 agreement, simulMultiTriggerSingleMeasReport is applied to events that are triggered to send measurement reports. In current text procedure and field description, it is applied to events that satisfy entering conditions. However, event satisfying entering condition may not be triggered. The entering condition may not be satisfied during TimerToTrigger, or numberOfTriggeringCells may not be satisfied if it is configured. </w:t>
            </w:r>
            <w:proofErr w:type="gramStart"/>
            <w:r w:rsidRPr="002D6A40">
              <w:rPr>
                <w:rFonts w:ascii="Calibri" w:eastAsia="Times New Roman" w:hAnsi="Calibri" w:cs="Calibri"/>
                <w:color w:val="000000"/>
                <w:kern w:val="0"/>
                <w:sz w:val="20"/>
                <w:szCs w:val="20"/>
                <w14:ligatures w14:val="none"/>
              </w:rPr>
              <w:t>So</w:t>
            </w:r>
            <w:proofErr w:type="gramEnd"/>
            <w:r w:rsidRPr="002D6A40">
              <w:rPr>
                <w:rFonts w:ascii="Calibri" w:eastAsia="Times New Roman" w:hAnsi="Calibri" w:cs="Calibri"/>
                <w:color w:val="000000"/>
                <w:kern w:val="0"/>
                <w:sz w:val="20"/>
                <w:szCs w:val="20"/>
                <w14:ligatures w14:val="none"/>
              </w:rPr>
              <w:t xml:space="preserve"> we prefer to revise the text procedure and field description of simulMultiTriggerSingleMeasReport to align with following RAN2 agreement: When multiple events are configured simultaneously, network explicitly configures whether the UAV reports all triggered measurement reports or chooses the MR configuration corresponding to the triggered event with the smallest value between the altitude of the UAV and the altitude threshold.  This flag applies for all events of the same type (Hx and AxHy) and MO (AxHy).  This will be a separate capability.</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4324FA8C"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we proposed two options: Option 1: to revise the text procedure and field description as following: 4&gt; if the eventH1 or eventH2 is configured in the corresponding reportConfig: 5&gt; for all the events of the same type for which simulMultiTriggerSingleMeasReport is set to true and the event is triggered the entry condition applicable for the event has been satisfied: 6&gt; consider only the event with the smallest value between the altitude of the UE and the corresponding altitude threshold to be applicable; 4&gt; else if the eventA3H1 or eventA3H2 or eventA4H1 or eventA4H2 or eventA5H1 or eventA5H2 is configured in the corresponding reportConfig: 5&gt; for all the events of the same type associated with the same measObjectNR for which simulMultiTriggerSingleMeasReport is set to true and the event is triggered the entry condition applicable for the event has been satisfied: 6&gt; consider only the event with the smallest value between the altitude of the UE and the corresponding altitude threshold to be applicable;  simulMultiTriggerSingleMeasReport Indicates when multiple events of the same type for event H1, H2, A3H1, A3H2, A4H1, A4H2, A5H1 and A5H2, and same MO for event A3H1, A3H2, A4H1, A4H2, A5H1 and A5H2, trigger measurement reports satisfy the entering condition(s), whether to consider only the event with the smallest value between the altitude of the UE and the configured altitude threshold   Option 2: if companies think option 1 is not the right place to capture the agreement, we think the alternative is to capture the agreement only in field description of simulMultiTriggerSingleMeasReport. The text procedure can be removed.</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7CACA3EC"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Agree with the comment that the agreeemnt was for MR, not for entry condition. The text could be simply updated to change 'entry condition' to 'measurement report triggering condition' (The reason is 'the event is triggered' has not been used extensively for the events in the spec, but I find several instances of 'measurement report triggering condition'), however the issue is the triggering conditions are evaluated only later. So refering to the triggering conditions being satisfied would be premature at this point in the procedure. This can be discussed together with V823, V824, W015.</w:t>
            </w:r>
          </w:p>
        </w:tc>
        <w:tc>
          <w:tcPr>
            <w:tcW w:w="1109" w:type="dxa"/>
            <w:tcBorders>
              <w:top w:val="single" w:sz="4" w:space="0" w:color="auto"/>
              <w:left w:val="single" w:sz="4" w:space="0" w:color="auto"/>
              <w:bottom w:val="single" w:sz="4" w:space="0" w:color="auto"/>
              <w:right w:val="single" w:sz="4" w:space="0" w:color="auto"/>
            </w:tcBorders>
          </w:tcPr>
          <w:p w14:paraId="0619977D" w14:textId="77777777" w:rsidR="0009606A"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ToDo</w:t>
            </w:r>
          </w:p>
        </w:tc>
        <w:tc>
          <w:tcPr>
            <w:tcW w:w="1926" w:type="dxa"/>
            <w:tcBorders>
              <w:top w:val="single" w:sz="4" w:space="0" w:color="auto"/>
              <w:left w:val="single" w:sz="4" w:space="0" w:color="auto"/>
              <w:bottom w:val="single" w:sz="4" w:space="0" w:color="auto"/>
              <w:right w:val="single" w:sz="4" w:space="0" w:color="auto"/>
            </w:tcBorders>
          </w:tcPr>
          <w:p w14:paraId="1ED5488A"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 xml:space="preserve">To be discussed together: </w:t>
            </w:r>
            <w:bookmarkStart w:id="106" w:name="_Hlk159148195"/>
            <w:r>
              <w:rPr>
                <w:rFonts w:ascii="Calibri" w:eastAsia="Times New Roman" w:hAnsi="Calibri" w:cs="Calibri"/>
                <w:color w:val="000000"/>
                <w:kern w:val="0"/>
                <w:sz w:val="20"/>
                <w:szCs w:val="20"/>
                <w14:ligatures w14:val="none"/>
              </w:rPr>
              <w:t>Z077, V823, V824, W015</w:t>
            </w:r>
            <w:bookmarkEnd w:id="106"/>
          </w:p>
        </w:tc>
      </w:tr>
      <w:tr w:rsidR="0009606A" w:rsidRPr="002D6A40" w14:paraId="77C3901C" w14:textId="77777777" w:rsidTr="0034642D">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5141B512"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W015</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60CC6175" w14:textId="77777777" w:rsidR="0009606A" w:rsidRPr="002D6A40" w:rsidRDefault="0009606A"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1BC3B141"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Describe the procedure from “each measId” aspect.</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3D73C5BB"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So far, the event triggering procedures are all described from “each measId” aspect. Considering other events when evaluate current measId seems not a common way. It would be better to say whether current event (for the measID) is applicable or not.  Propose to change as follows: 4&gt; else if the eventA3H1 or eventA3H2 or eventA4H1 or eventA4H2 or eventA5H1 or eventA5H2 is configured in the corresponding reportConfig: 5&gt; if the entry condition applicable for the event has been satisfied: 6&gt; if this is the only event for this event type associated with the same measObjectNR, or 6&gt; if simulMultiTriggerSingleMeasReport for this event is not set to true, or  6&gt; if this is the event with the smallest value between the altitude of the UE and the corresponding altitude threshold among all the events of the same type associated with the same measObjectNR for which simulMultiTriggerSingleMeasReport is set to true: 7&gt; consider the event to be applicable;</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1D757CD7"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QC as rapp: see comment in Z077</w:t>
            </w:r>
          </w:p>
        </w:tc>
        <w:tc>
          <w:tcPr>
            <w:tcW w:w="1109" w:type="dxa"/>
            <w:tcBorders>
              <w:top w:val="single" w:sz="4" w:space="0" w:color="auto"/>
              <w:left w:val="single" w:sz="4" w:space="0" w:color="auto"/>
              <w:bottom w:val="single" w:sz="4" w:space="0" w:color="auto"/>
              <w:right w:val="single" w:sz="4" w:space="0" w:color="auto"/>
            </w:tcBorders>
          </w:tcPr>
          <w:p w14:paraId="3F42F8C8"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ToDo</w:t>
            </w:r>
          </w:p>
        </w:tc>
        <w:tc>
          <w:tcPr>
            <w:tcW w:w="1926" w:type="dxa"/>
            <w:tcBorders>
              <w:top w:val="single" w:sz="4" w:space="0" w:color="auto"/>
              <w:left w:val="single" w:sz="4" w:space="0" w:color="auto"/>
              <w:bottom w:val="single" w:sz="4" w:space="0" w:color="auto"/>
              <w:right w:val="single" w:sz="4" w:space="0" w:color="auto"/>
            </w:tcBorders>
          </w:tcPr>
          <w:p w14:paraId="074EDEBC"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To be discussed together: Z077, V823, V824, W015</w:t>
            </w:r>
          </w:p>
        </w:tc>
      </w:tr>
      <w:tr w:rsidR="0009606A" w:rsidRPr="002D6A40" w14:paraId="56CAD60C" w14:textId="77777777" w:rsidTr="0034642D">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247C7CC2"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V823</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56CAD83F" w14:textId="77777777" w:rsidR="0009606A" w:rsidRPr="002D6A40" w:rsidRDefault="0009606A"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3ED6C473"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simulMultiTriggerSingleMeasReport is included per measId, while the UE should only compare the value between the altitude of the UE and the corresponding threshold in each event after checking all the measIds configured with such event, whose entry condition is satisfied as well. This can be misleading in the order of UE behaviour.</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503B4844"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Remove the paragraphs related to select appliacable event in Clause 5.5.4.1; add a note in 5.5.5.1 as RIL V824.</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0D504667"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this </w:t>
            </w:r>
            <w:proofErr w:type="gramStart"/>
            <w:r w:rsidRPr="002D6A40">
              <w:rPr>
                <w:rFonts w:ascii="Calibri" w:eastAsia="Times New Roman" w:hAnsi="Calibri" w:cs="Calibri"/>
                <w:color w:val="000000"/>
                <w:kern w:val="0"/>
                <w:sz w:val="20"/>
                <w:szCs w:val="20"/>
                <w14:ligatures w14:val="none"/>
              </w:rPr>
              <w:t>would</w:t>
            </w:r>
            <w:proofErr w:type="gramEnd"/>
            <w:r w:rsidRPr="002D6A40">
              <w:rPr>
                <w:rFonts w:ascii="Calibri" w:eastAsia="Times New Roman" w:hAnsi="Calibri" w:cs="Calibri"/>
                <w:color w:val="000000"/>
                <w:kern w:val="0"/>
                <w:sz w:val="20"/>
                <w:szCs w:val="20"/>
                <w14:ligatures w14:val="none"/>
              </w:rPr>
              <w:t xml:space="preserve"> need further discussion if we want to remove/move the whole statements. I will only apply the other smaller changes in the CR and leave this for further discussion.</w:t>
            </w:r>
          </w:p>
        </w:tc>
        <w:tc>
          <w:tcPr>
            <w:tcW w:w="1109" w:type="dxa"/>
            <w:tcBorders>
              <w:top w:val="single" w:sz="4" w:space="0" w:color="auto"/>
              <w:left w:val="single" w:sz="4" w:space="0" w:color="auto"/>
              <w:bottom w:val="single" w:sz="4" w:space="0" w:color="auto"/>
              <w:right w:val="single" w:sz="4" w:space="0" w:color="auto"/>
            </w:tcBorders>
          </w:tcPr>
          <w:p w14:paraId="5BA98DE5" w14:textId="77777777" w:rsidR="0009606A"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ToDo</w:t>
            </w:r>
          </w:p>
        </w:tc>
        <w:tc>
          <w:tcPr>
            <w:tcW w:w="1926" w:type="dxa"/>
            <w:tcBorders>
              <w:top w:val="single" w:sz="4" w:space="0" w:color="auto"/>
              <w:left w:val="single" w:sz="4" w:space="0" w:color="auto"/>
              <w:bottom w:val="single" w:sz="4" w:space="0" w:color="auto"/>
              <w:right w:val="single" w:sz="4" w:space="0" w:color="auto"/>
            </w:tcBorders>
          </w:tcPr>
          <w:p w14:paraId="12B5780A"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To be discussed together: Z077, V823, V824, W015</w:t>
            </w:r>
          </w:p>
        </w:tc>
      </w:tr>
      <w:tr w:rsidR="0009606A" w:rsidRPr="002D6A40" w14:paraId="36507E80" w14:textId="77777777" w:rsidTr="0034642D">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3E826FF6"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V824</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2D0E15E6" w14:textId="77777777" w:rsidR="0009606A" w:rsidRPr="002D6A40" w:rsidRDefault="0009606A"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106AD0C1"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Stated in V823. For the events of the same type supporting to trigger a single measurement report, it should be up to UE implementation to ensure that the measurement report contains the applicable mesID with the smallest value between the altitude of the UE and the corresponding altitude threshold, after all the events are entered and triggered measurement reporting.</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6CD7386E"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Note: For the measurement reporting triggered by multiple events of the same type for which simulMultiTriggerSingleMeasReport is set to true, the UE ensures that only the measurement reporting triggered by the event with the smallest value between the altitude of the UE and the corresponding altitude threshold to be reported.</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179CB645" w14:textId="77777777" w:rsidR="0009606A"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[Nokia – Jerediah] It should be clarified that the hysteresis should be considered as part of the threshold. More comments over email as this could be a longer discussion.  </w:t>
            </w:r>
          </w:p>
          <w:p w14:paraId="72093487"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 xml:space="preserve">QC as rapp: this </w:t>
            </w:r>
            <w:proofErr w:type="gramStart"/>
            <w:r w:rsidRPr="002D6A40">
              <w:rPr>
                <w:rFonts w:ascii="Calibri" w:eastAsia="Times New Roman" w:hAnsi="Calibri" w:cs="Calibri"/>
                <w:color w:val="000000"/>
                <w:kern w:val="0"/>
                <w:sz w:val="20"/>
                <w:szCs w:val="20"/>
                <w14:ligatures w14:val="none"/>
              </w:rPr>
              <w:t>would</w:t>
            </w:r>
            <w:proofErr w:type="gramEnd"/>
            <w:r w:rsidRPr="002D6A40">
              <w:rPr>
                <w:rFonts w:ascii="Calibri" w:eastAsia="Times New Roman" w:hAnsi="Calibri" w:cs="Calibri"/>
                <w:color w:val="000000"/>
                <w:kern w:val="0"/>
                <w:sz w:val="20"/>
                <w:szCs w:val="20"/>
                <w14:ligatures w14:val="none"/>
              </w:rPr>
              <w:t xml:space="preserve"> need further discussion if we want to remove/move the whole statements. I will only apply the other smaller changes in the CR and leave this for further discussion.</w:t>
            </w:r>
          </w:p>
        </w:tc>
        <w:tc>
          <w:tcPr>
            <w:tcW w:w="1109" w:type="dxa"/>
            <w:tcBorders>
              <w:top w:val="single" w:sz="4" w:space="0" w:color="auto"/>
              <w:left w:val="single" w:sz="4" w:space="0" w:color="auto"/>
              <w:bottom w:val="single" w:sz="4" w:space="0" w:color="auto"/>
              <w:right w:val="single" w:sz="4" w:space="0" w:color="auto"/>
            </w:tcBorders>
          </w:tcPr>
          <w:p w14:paraId="66311979"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ToDo</w:t>
            </w:r>
          </w:p>
        </w:tc>
        <w:tc>
          <w:tcPr>
            <w:tcW w:w="1926" w:type="dxa"/>
            <w:tcBorders>
              <w:top w:val="single" w:sz="4" w:space="0" w:color="auto"/>
              <w:left w:val="single" w:sz="4" w:space="0" w:color="auto"/>
              <w:bottom w:val="single" w:sz="4" w:space="0" w:color="auto"/>
              <w:right w:val="single" w:sz="4" w:space="0" w:color="auto"/>
            </w:tcBorders>
          </w:tcPr>
          <w:p w14:paraId="04AB2FAC"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To be discussed together: Z077, V823, V824, W015</w:t>
            </w:r>
          </w:p>
        </w:tc>
      </w:tr>
      <w:tr w:rsidR="0009606A" w:rsidRPr="002D6A40" w14:paraId="7B1FBC27" w14:textId="77777777" w:rsidTr="0034642D">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4911C400"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S171</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9990320" w14:textId="77777777" w:rsidR="0009606A" w:rsidRPr="002D6A40" w:rsidRDefault="0009606A" w:rsidP="0034642D">
            <w:pPr>
              <w:spacing w:after="0" w:line="240" w:lineRule="auto"/>
              <w:jc w:val="center"/>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1</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0E19B546"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SIB12 handling for A2X communication is not mentioned</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0B4BFF52"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A2X communication uses the functions for NR SL communication including SIB12 processing. But A2X communication is not same as NR SL communication, the associated texts in 5.2.2.4.13 need to be updated to include A2X communication. The procedure for A2X communication needs to consider both shared resource pool of NR sidelink communication and dedicated resource pool for BRID/DAA of A2X communication. Please refer to our tdoc R2-24xxxxx.</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7D8EABCD"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EB6AC2">
              <w:rPr>
                <w:rFonts w:ascii="Calibri" w:eastAsia="Times New Roman" w:hAnsi="Calibri" w:cs="Calibri"/>
                <w:color w:val="000000"/>
                <w:kern w:val="0"/>
                <w:sz w:val="20"/>
                <w:szCs w:val="20"/>
                <w14:ligatures w14:val="none"/>
              </w:rPr>
              <w:t>QC as rapp: ok we can discuss based on Tdoc. But see H743 and S172, maybe comments there already addresses the concern here.</w:t>
            </w:r>
          </w:p>
        </w:tc>
        <w:tc>
          <w:tcPr>
            <w:tcW w:w="1109" w:type="dxa"/>
            <w:tcBorders>
              <w:top w:val="single" w:sz="4" w:space="0" w:color="auto"/>
              <w:left w:val="single" w:sz="4" w:space="0" w:color="auto"/>
              <w:bottom w:val="single" w:sz="4" w:space="0" w:color="auto"/>
              <w:right w:val="single" w:sz="4" w:space="0" w:color="auto"/>
            </w:tcBorders>
          </w:tcPr>
          <w:p w14:paraId="6561CE75"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sidRPr="002D6A40">
              <w:rPr>
                <w:rFonts w:ascii="Calibri" w:eastAsia="Times New Roman" w:hAnsi="Calibri" w:cs="Calibri"/>
                <w:color w:val="000000"/>
                <w:kern w:val="0"/>
                <w:sz w:val="20"/>
                <w:szCs w:val="20"/>
                <w14:ligatures w14:val="none"/>
              </w:rPr>
              <w:t>ToDo</w:t>
            </w:r>
          </w:p>
        </w:tc>
        <w:tc>
          <w:tcPr>
            <w:tcW w:w="1926" w:type="dxa"/>
            <w:tcBorders>
              <w:top w:val="single" w:sz="4" w:space="0" w:color="auto"/>
              <w:left w:val="single" w:sz="4" w:space="0" w:color="auto"/>
              <w:bottom w:val="single" w:sz="4" w:space="0" w:color="auto"/>
              <w:right w:val="single" w:sz="4" w:space="0" w:color="auto"/>
            </w:tcBorders>
          </w:tcPr>
          <w:p w14:paraId="743A496C" w14:textId="77777777" w:rsidR="0009606A" w:rsidRPr="002D6A40" w:rsidRDefault="0009606A" w:rsidP="0034642D">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 xml:space="preserve">Can be discussed based on Tdoc if needed. Conclusion of </w:t>
            </w:r>
            <w:bookmarkStart w:id="107" w:name="_Hlk159148262"/>
            <w:r>
              <w:rPr>
                <w:rFonts w:ascii="Calibri" w:eastAsia="Times New Roman" w:hAnsi="Calibri" w:cs="Calibri"/>
                <w:color w:val="000000"/>
                <w:kern w:val="0"/>
                <w:sz w:val="20"/>
                <w:szCs w:val="20"/>
                <w14:ligatures w14:val="none"/>
              </w:rPr>
              <w:t>this may also affect S172, S173, S174.</w:t>
            </w:r>
            <w:bookmarkEnd w:id="107"/>
          </w:p>
        </w:tc>
      </w:tr>
    </w:tbl>
    <w:p w14:paraId="03A41C19" w14:textId="77777777" w:rsidR="0009606A" w:rsidRDefault="0009606A" w:rsidP="00547267">
      <w:pPr>
        <w:rPr>
          <w:sz w:val="20"/>
          <w:szCs w:val="20"/>
        </w:rPr>
      </w:pPr>
    </w:p>
    <w:p w14:paraId="1852DA31" w14:textId="4389C001" w:rsidR="00F21B84" w:rsidRDefault="00547267" w:rsidP="00547267">
      <w:pPr>
        <w:pStyle w:val="Proposal"/>
        <w:numPr>
          <w:ilvl w:val="0"/>
          <w:numId w:val="5"/>
        </w:numPr>
      </w:pPr>
      <w:bookmarkStart w:id="108" w:name="_Toc159148369"/>
      <w:bookmarkStart w:id="109" w:name="_Toc159148480"/>
      <w:bookmarkStart w:id="110" w:name="_Toc159169331"/>
      <w:bookmarkStart w:id="111" w:name="_Toc159169343"/>
      <w:bookmarkStart w:id="112" w:name="_Toc159169365"/>
      <w:bookmarkStart w:id="113" w:name="_Toc159181180"/>
      <w:bookmarkStart w:id="114" w:name="_Toc159181190"/>
      <w:r>
        <w:t xml:space="preserve">For </w:t>
      </w:r>
      <w:r w:rsidR="00F21B84">
        <w:t>NR E129: To be discussed based on contribution</w:t>
      </w:r>
      <w:r w:rsidR="00E427C7">
        <w:t>s</w:t>
      </w:r>
      <w:r w:rsidR="00F21B84">
        <w:t>.</w:t>
      </w:r>
      <w:bookmarkEnd w:id="108"/>
      <w:bookmarkEnd w:id="109"/>
      <w:bookmarkEnd w:id="110"/>
      <w:bookmarkEnd w:id="111"/>
      <w:bookmarkEnd w:id="112"/>
      <w:bookmarkEnd w:id="113"/>
      <w:bookmarkEnd w:id="114"/>
    </w:p>
    <w:p w14:paraId="1D1417DB" w14:textId="13B7FEA3" w:rsidR="00547267" w:rsidRDefault="00C44B14" w:rsidP="00547267">
      <w:pPr>
        <w:pStyle w:val="Proposal"/>
        <w:numPr>
          <w:ilvl w:val="0"/>
          <w:numId w:val="5"/>
        </w:numPr>
      </w:pPr>
      <w:bookmarkStart w:id="115" w:name="_Toc159148370"/>
      <w:bookmarkStart w:id="116" w:name="_Toc159148481"/>
      <w:bookmarkStart w:id="117" w:name="_Toc159169332"/>
      <w:bookmarkStart w:id="118" w:name="_Toc159169344"/>
      <w:bookmarkStart w:id="119" w:name="_Toc159169366"/>
      <w:bookmarkStart w:id="120" w:name="_Toc159181181"/>
      <w:bookmarkStart w:id="121" w:name="_Toc159181191"/>
      <w:r>
        <w:t xml:space="preserve">For NR </w:t>
      </w:r>
      <w:r w:rsidRPr="00C44B14">
        <w:t>Z077, V823, V824, W015</w:t>
      </w:r>
      <w:r>
        <w:t>: To be discussed together.</w:t>
      </w:r>
      <w:bookmarkEnd w:id="115"/>
      <w:bookmarkEnd w:id="116"/>
      <w:bookmarkEnd w:id="117"/>
      <w:bookmarkEnd w:id="118"/>
      <w:bookmarkEnd w:id="119"/>
      <w:bookmarkEnd w:id="120"/>
      <w:bookmarkEnd w:id="121"/>
    </w:p>
    <w:p w14:paraId="15A87044" w14:textId="68B359D2" w:rsidR="00C44B14" w:rsidRDefault="00C44B14" w:rsidP="00547267">
      <w:pPr>
        <w:pStyle w:val="Proposal"/>
        <w:numPr>
          <w:ilvl w:val="0"/>
          <w:numId w:val="5"/>
        </w:numPr>
      </w:pPr>
      <w:bookmarkStart w:id="122" w:name="_Toc159148371"/>
      <w:bookmarkStart w:id="123" w:name="_Toc159148482"/>
      <w:bookmarkStart w:id="124" w:name="_Toc159169333"/>
      <w:bookmarkStart w:id="125" w:name="_Toc159169345"/>
      <w:bookmarkStart w:id="126" w:name="_Toc159169367"/>
      <w:bookmarkStart w:id="127" w:name="_Toc159181182"/>
      <w:bookmarkStart w:id="128" w:name="_Toc159181192"/>
      <w:r>
        <w:t>For S171</w:t>
      </w:r>
      <w:r w:rsidR="00A52EB6">
        <w:t xml:space="preserve">: Rapp </w:t>
      </w:r>
      <w:r w:rsidR="00E427C7">
        <w:t>proposal</w:t>
      </w:r>
      <w:r w:rsidR="00A52EB6">
        <w:t xml:space="preserve"> is PropReject</w:t>
      </w:r>
      <w:r w:rsidR="00E427C7">
        <w:t>, however</w:t>
      </w:r>
      <w:r w:rsidR="00A52EB6">
        <w:t xml:space="preserve"> can be discussed </w:t>
      </w:r>
      <w:r w:rsidR="00E427C7">
        <w:t xml:space="preserve">based on tdoc </w:t>
      </w:r>
      <w:r w:rsidR="00171A9B">
        <w:t>together with</w:t>
      </w:r>
      <w:r w:rsidR="00171A9B" w:rsidRPr="00171A9B">
        <w:t xml:space="preserve"> S172, S173, S174.</w:t>
      </w:r>
      <w:bookmarkEnd w:id="122"/>
      <w:bookmarkEnd w:id="123"/>
      <w:bookmarkEnd w:id="124"/>
      <w:bookmarkEnd w:id="125"/>
      <w:bookmarkEnd w:id="126"/>
      <w:bookmarkEnd w:id="127"/>
      <w:bookmarkEnd w:id="128"/>
    </w:p>
    <w:p w14:paraId="6E74AF65" w14:textId="77777777" w:rsidR="0066280A" w:rsidRDefault="0066280A" w:rsidP="00341903"/>
    <w:p w14:paraId="7303EFF0" w14:textId="77777777" w:rsidR="00341903" w:rsidRDefault="00341903" w:rsidP="0066280A">
      <w:pPr>
        <w:pStyle w:val="Proposal"/>
        <w:numPr>
          <w:ilvl w:val="0"/>
          <w:numId w:val="0"/>
        </w:numPr>
        <w:ind w:left="720" w:hanging="360"/>
        <w:sectPr w:rsidR="00341903" w:rsidSect="009D7762">
          <w:pgSz w:w="15840" w:h="12240" w:orient="landscape" w:code="1"/>
          <w:pgMar w:top="1440" w:right="1440" w:bottom="1440" w:left="1440" w:header="720" w:footer="720" w:gutter="0"/>
          <w:cols w:space="720"/>
          <w:docGrid w:linePitch="360"/>
        </w:sectPr>
      </w:pPr>
    </w:p>
    <w:p w14:paraId="662DE4A6" w14:textId="7A0F7357" w:rsidR="009976CE" w:rsidRPr="00341903" w:rsidRDefault="00C8194E" w:rsidP="00341903">
      <w:pPr>
        <w:pStyle w:val="Heading2"/>
        <w:numPr>
          <w:ilvl w:val="1"/>
          <w:numId w:val="2"/>
        </w:numPr>
        <w:spacing w:line="276" w:lineRule="auto"/>
        <w:ind w:left="576" w:hanging="576"/>
        <w:rPr>
          <w:i w:val="0"/>
          <w:iCs w:val="0"/>
        </w:rPr>
      </w:pPr>
      <w:r w:rsidRPr="00341903">
        <w:rPr>
          <w:i w:val="0"/>
          <w:iCs w:val="0"/>
        </w:rPr>
        <w:t>Summary</w:t>
      </w:r>
    </w:p>
    <w:p w14:paraId="5C64027E" w14:textId="23208ECC" w:rsidR="00C8194E" w:rsidRDefault="00341903">
      <w:pPr>
        <w:rPr>
          <w:sz w:val="20"/>
          <w:szCs w:val="20"/>
        </w:rPr>
      </w:pPr>
      <w:r>
        <w:rPr>
          <w:sz w:val="20"/>
          <w:szCs w:val="20"/>
        </w:rPr>
        <w:t>As resolution for</w:t>
      </w:r>
      <w:r w:rsidR="0039242A">
        <w:rPr>
          <w:sz w:val="20"/>
          <w:szCs w:val="20"/>
        </w:rPr>
        <w:t xml:space="preserve"> </w:t>
      </w:r>
      <w:r w:rsidR="0055518A">
        <w:rPr>
          <w:sz w:val="20"/>
          <w:szCs w:val="20"/>
        </w:rPr>
        <w:t>NR</w:t>
      </w:r>
      <w:r w:rsidR="0039242A">
        <w:rPr>
          <w:sz w:val="20"/>
          <w:szCs w:val="20"/>
        </w:rPr>
        <w:t xml:space="preserve"> UAV</w:t>
      </w:r>
      <w:r>
        <w:rPr>
          <w:sz w:val="20"/>
          <w:szCs w:val="20"/>
        </w:rPr>
        <w:t xml:space="preserve"> open issues and ASN.1 RIL</w:t>
      </w:r>
      <w:r w:rsidR="0055518A">
        <w:rPr>
          <w:sz w:val="20"/>
          <w:szCs w:val="20"/>
        </w:rPr>
        <w:t>s</w:t>
      </w:r>
      <w:r>
        <w:rPr>
          <w:sz w:val="20"/>
          <w:szCs w:val="20"/>
        </w:rPr>
        <w:t>, following is proposed:</w:t>
      </w:r>
    </w:p>
    <w:p w14:paraId="694798F6" w14:textId="77777777" w:rsidR="000E6F6A" w:rsidRDefault="00ED4FE0">
      <w:pPr>
        <w:pStyle w:val="TOC1"/>
        <w:tabs>
          <w:tab w:val="left" w:pos="1320"/>
          <w:tab w:val="right" w:leader="dot" w:pos="9350"/>
        </w:tabs>
        <w:rPr>
          <w:rFonts w:eastAsiaTheme="minorEastAsia"/>
          <w:noProof/>
        </w:rPr>
      </w:pPr>
      <w:r w:rsidRPr="00ED4FE0">
        <w:rPr>
          <w:rFonts w:ascii="Times New Roman" w:eastAsia="Times New Roman" w:hAnsi="Times New Roman" w:cs="Times New Roman"/>
          <w:b/>
          <w:kern w:val="0"/>
          <w:sz w:val="20"/>
          <w:szCs w:val="20"/>
          <w:lang w:val="en-GB"/>
          <w14:ligatures w14:val="none"/>
        </w:rPr>
        <w:fldChar w:fldCharType="begin"/>
      </w:r>
      <w:r w:rsidRPr="00ED4FE0">
        <w:rPr>
          <w:rFonts w:ascii="Times New Roman" w:eastAsia="Times New Roman" w:hAnsi="Times New Roman" w:cs="Times New Roman"/>
          <w:b/>
          <w:kern w:val="0"/>
          <w:sz w:val="20"/>
          <w:szCs w:val="20"/>
          <w:lang w:val="en-GB"/>
          <w14:ligatures w14:val="none"/>
        </w:rPr>
        <w:instrText xml:space="preserve"> TOC \t "Proposal" \z \n \* MERGEFORMAT </w:instrText>
      </w:r>
      <w:r w:rsidRPr="00ED4FE0">
        <w:rPr>
          <w:rFonts w:ascii="Times New Roman" w:eastAsia="Times New Roman" w:hAnsi="Times New Roman" w:cs="Times New Roman"/>
          <w:b/>
          <w:kern w:val="0"/>
          <w:sz w:val="20"/>
          <w:szCs w:val="20"/>
          <w:lang w:val="en-GB"/>
          <w14:ligatures w14:val="none"/>
        </w:rPr>
        <w:fldChar w:fldCharType="separate"/>
      </w:r>
      <w:r w:rsidR="000E6F6A">
        <w:rPr>
          <w:noProof/>
        </w:rPr>
        <w:t>Proposal 1.</w:t>
      </w:r>
      <w:r w:rsidR="000E6F6A">
        <w:rPr>
          <w:rFonts w:eastAsiaTheme="minorEastAsia"/>
          <w:noProof/>
        </w:rPr>
        <w:tab/>
      </w:r>
      <w:r w:rsidR="000E6F6A">
        <w:rPr>
          <w:noProof/>
        </w:rPr>
        <w:t>On additionalPmax-r18: keep the signalling in ASN.1 and make any changes to procedural texts once RAN4 replies.</w:t>
      </w:r>
    </w:p>
    <w:p w14:paraId="7AC40335" w14:textId="77777777" w:rsidR="000E6F6A" w:rsidRDefault="000E6F6A">
      <w:pPr>
        <w:pStyle w:val="TOC1"/>
        <w:tabs>
          <w:tab w:val="left" w:pos="1320"/>
          <w:tab w:val="right" w:leader="dot" w:pos="9350"/>
        </w:tabs>
        <w:rPr>
          <w:rFonts w:eastAsiaTheme="minorEastAsia"/>
          <w:noProof/>
        </w:rPr>
      </w:pPr>
      <w:r>
        <w:rPr>
          <w:noProof/>
        </w:rPr>
        <w:t>Proposal 2.</w:t>
      </w:r>
      <w:r>
        <w:rPr>
          <w:rFonts w:eastAsiaTheme="minorEastAsia"/>
          <w:noProof/>
        </w:rPr>
        <w:tab/>
      </w:r>
      <w:r>
        <w:rPr>
          <w:noProof/>
        </w:rPr>
        <w:t>For both NR and LTE: Introduce optional UE capability to indicate support of the mechanisms defined for cells broadcasting aerial-specific emission list.</w:t>
      </w:r>
    </w:p>
    <w:p w14:paraId="4CBC1365" w14:textId="77777777" w:rsidR="000E6F6A" w:rsidRDefault="000E6F6A">
      <w:pPr>
        <w:pStyle w:val="TOC1"/>
        <w:tabs>
          <w:tab w:val="left" w:pos="1320"/>
          <w:tab w:val="right" w:leader="dot" w:pos="9350"/>
        </w:tabs>
        <w:rPr>
          <w:rFonts w:eastAsiaTheme="minorEastAsia"/>
          <w:noProof/>
        </w:rPr>
      </w:pPr>
      <w:r>
        <w:rPr>
          <w:noProof/>
        </w:rPr>
        <w:t>Proposal 3.</w:t>
      </w:r>
      <w:r>
        <w:rPr>
          <w:rFonts w:eastAsiaTheme="minorEastAsia"/>
          <w:noProof/>
        </w:rPr>
        <w:tab/>
      </w:r>
      <w:r>
        <w:rPr>
          <w:noProof/>
        </w:rPr>
        <w:t>For nr-NS-PmaxListAerial-r18, keep it as per-UE optional capability (both LTE and NR) with No FDD/TDD diff and No FR1/FR2 diff. Remove Editor’s Note. Also capture description in TS 38.306.</w:t>
      </w:r>
    </w:p>
    <w:p w14:paraId="6640EF5E" w14:textId="77777777" w:rsidR="000E6F6A" w:rsidRDefault="000E6F6A">
      <w:pPr>
        <w:pStyle w:val="TOC1"/>
        <w:tabs>
          <w:tab w:val="left" w:pos="1320"/>
          <w:tab w:val="right" w:leader="dot" w:pos="9350"/>
        </w:tabs>
        <w:rPr>
          <w:rFonts w:eastAsiaTheme="minorEastAsia"/>
          <w:noProof/>
        </w:rPr>
      </w:pPr>
      <w:r>
        <w:rPr>
          <w:noProof/>
        </w:rPr>
        <w:t>Proposal 4.</w:t>
      </w:r>
      <w:r>
        <w:rPr>
          <w:rFonts w:eastAsiaTheme="minorEastAsia"/>
          <w:noProof/>
        </w:rPr>
        <w:tab/>
      </w:r>
      <w:r>
        <w:rPr>
          <w:noProof/>
        </w:rPr>
        <w:t>For both NR and LTE: sl-A2X-Service-r18 capability (support of A2X service(s) using PC5 sidelink and dedicated resource pool for corresponding A2X service) is indicated per band.</w:t>
      </w:r>
    </w:p>
    <w:p w14:paraId="642BD5A5" w14:textId="77777777" w:rsidR="000E6F6A" w:rsidRDefault="000E6F6A">
      <w:pPr>
        <w:pStyle w:val="TOC1"/>
        <w:tabs>
          <w:tab w:val="left" w:pos="1320"/>
          <w:tab w:val="right" w:leader="dot" w:pos="9350"/>
        </w:tabs>
        <w:rPr>
          <w:rFonts w:eastAsiaTheme="minorEastAsia"/>
          <w:noProof/>
        </w:rPr>
      </w:pPr>
      <w:r>
        <w:rPr>
          <w:noProof/>
        </w:rPr>
        <w:t>Proposal 5.</w:t>
      </w:r>
      <w:r>
        <w:rPr>
          <w:rFonts w:eastAsiaTheme="minorEastAsia"/>
          <w:noProof/>
        </w:rPr>
        <w:tab/>
      </w:r>
      <w:r>
        <w:rPr>
          <w:noProof/>
        </w:rPr>
        <w:t>Update NR RRC to move sl-A2X-Service-r18 to per band (i.e. inside BandSidelink-r16), M = No, FDD-TDD diff = NA/A, FR1-FR2 diff = N/A. Update description in TS 38.306 (can keep it in 4.2.24 in 38.306).</w:t>
      </w:r>
    </w:p>
    <w:p w14:paraId="00AFF562" w14:textId="77777777" w:rsidR="000E6F6A" w:rsidRDefault="000E6F6A">
      <w:pPr>
        <w:pStyle w:val="TOC1"/>
        <w:tabs>
          <w:tab w:val="left" w:pos="1320"/>
          <w:tab w:val="right" w:leader="dot" w:pos="9350"/>
        </w:tabs>
        <w:rPr>
          <w:rFonts w:eastAsiaTheme="minorEastAsia"/>
          <w:noProof/>
        </w:rPr>
      </w:pPr>
      <w:r>
        <w:rPr>
          <w:noProof/>
        </w:rPr>
        <w:t>Proposal 6.</w:t>
      </w:r>
      <w:r>
        <w:rPr>
          <w:rFonts w:eastAsiaTheme="minorEastAsia"/>
          <w:noProof/>
        </w:rPr>
        <w:tab/>
      </w:r>
      <w:r>
        <w:rPr>
          <w:noProof/>
        </w:rPr>
        <w:t>For NR H743, J061, Z074, Z075, C003, C004, V822, Z072, W012, C005, W013, E081, C008, H745, H059, C009, J065, W014, C018, I115, I116, E125, E085, E094, C024, L003, E086, E122, E127, E128, J074: Agree to the proposed resolutions as captured in the rapporteur’s misc. corrections CR.</w:t>
      </w:r>
    </w:p>
    <w:p w14:paraId="79656D4A" w14:textId="77777777" w:rsidR="000E6F6A" w:rsidRDefault="000E6F6A">
      <w:pPr>
        <w:pStyle w:val="TOC1"/>
        <w:tabs>
          <w:tab w:val="left" w:pos="1320"/>
          <w:tab w:val="right" w:leader="dot" w:pos="9350"/>
        </w:tabs>
        <w:rPr>
          <w:rFonts w:eastAsiaTheme="minorEastAsia"/>
          <w:noProof/>
        </w:rPr>
      </w:pPr>
      <w:r>
        <w:rPr>
          <w:noProof/>
        </w:rPr>
        <w:t>Proposal 7.</w:t>
      </w:r>
      <w:r>
        <w:rPr>
          <w:rFonts w:eastAsiaTheme="minorEastAsia"/>
          <w:noProof/>
        </w:rPr>
        <w:tab/>
      </w:r>
      <w:r>
        <w:rPr>
          <w:noProof/>
        </w:rPr>
        <w:t>For NR E047, E048, E121, C006, X141, Z073, H744, J064, L004, Z071, L002, S172, E083, E084, Z076, E123, H746, H747, E126, E119, E144, S173, S174: Change status to PropReject. No change in spec is needed.</w:t>
      </w:r>
    </w:p>
    <w:p w14:paraId="431EB508" w14:textId="77777777" w:rsidR="000E6F6A" w:rsidRDefault="000E6F6A">
      <w:pPr>
        <w:pStyle w:val="TOC1"/>
        <w:tabs>
          <w:tab w:val="left" w:pos="1320"/>
          <w:tab w:val="right" w:leader="dot" w:pos="9350"/>
        </w:tabs>
        <w:rPr>
          <w:rFonts w:eastAsiaTheme="minorEastAsia"/>
          <w:noProof/>
        </w:rPr>
      </w:pPr>
      <w:r>
        <w:rPr>
          <w:noProof/>
        </w:rPr>
        <w:t>Proposal 8.</w:t>
      </w:r>
      <w:r>
        <w:rPr>
          <w:rFonts w:eastAsiaTheme="minorEastAsia"/>
          <w:noProof/>
        </w:rPr>
        <w:tab/>
      </w:r>
      <w:r>
        <w:rPr>
          <w:noProof/>
        </w:rPr>
        <w:t>For NR E129: To be discussed based on contributions.</w:t>
      </w:r>
    </w:p>
    <w:p w14:paraId="0C13D0BF" w14:textId="77777777" w:rsidR="000E6F6A" w:rsidRDefault="000E6F6A">
      <w:pPr>
        <w:pStyle w:val="TOC1"/>
        <w:tabs>
          <w:tab w:val="left" w:pos="1320"/>
          <w:tab w:val="right" w:leader="dot" w:pos="9350"/>
        </w:tabs>
        <w:rPr>
          <w:rFonts w:eastAsiaTheme="minorEastAsia"/>
          <w:noProof/>
        </w:rPr>
      </w:pPr>
      <w:r>
        <w:rPr>
          <w:noProof/>
        </w:rPr>
        <w:t>Proposal 9.</w:t>
      </w:r>
      <w:r>
        <w:rPr>
          <w:rFonts w:eastAsiaTheme="minorEastAsia"/>
          <w:noProof/>
        </w:rPr>
        <w:tab/>
      </w:r>
      <w:r>
        <w:rPr>
          <w:noProof/>
        </w:rPr>
        <w:t>For NR Z077, V823, V824, W015: To be discussed together.</w:t>
      </w:r>
    </w:p>
    <w:p w14:paraId="6F3BE4E2" w14:textId="77777777" w:rsidR="000E6F6A" w:rsidRDefault="000E6F6A">
      <w:pPr>
        <w:pStyle w:val="TOC1"/>
        <w:tabs>
          <w:tab w:val="left" w:pos="1540"/>
          <w:tab w:val="right" w:leader="dot" w:pos="9350"/>
        </w:tabs>
        <w:rPr>
          <w:rFonts w:eastAsiaTheme="minorEastAsia"/>
          <w:noProof/>
        </w:rPr>
      </w:pPr>
      <w:r>
        <w:rPr>
          <w:noProof/>
        </w:rPr>
        <w:t>Proposal 10.</w:t>
      </w:r>
      <w:r>
        <w:rPr>
          <w:rFonts w:eastAsiaTheme="minorEastAsia"/>
          <w:noProof/>
        </w:rPr>
        <w:tab/>
      </w:r>
      <w:r>
        <w:rPr>
          <w:noProof/>
        </w:rPr>
        <w:t>For S171: Rapp proposal is PropReject, however can be discussed based on tdoc together with S172, S173, S174.</w:t>
      </w:r>
    </w:p>
    <w:p w14:paraId="138AC7BF" w14:textId="67C8A677" w:rsidR="00ED4FE0" w:rsidRPr="00ED4FE0" w:rsidRDefault="00ED4FE0" w:rsidP="00ED4FE0">
      <w:pPr>
        <w:overflowPunct w:val="0"/>
        <w:autoSpaceDE w:val="0"/>
        <w:autoSpaceDN w:val="0"/>
        <w:adjustRightInd w:val="0"/>
        <w:spacing w:after="180" w:line="276" w:lineRule="auto"/>
        <w:jc w:val="both"/>
        <w:textAlignment w:val="baseline"/>
        <w:rPr>
          <w:rFonts w:ascii="Times New Roman" w:eastAsia="Times New Roman" w:hAnsi="Times New Roman" w:cs="Times New Roman"/>
          <w:kern w:val="0"/>
          <w:sz w:val="20"/>
          <w:szCs w:val="20"/>
          <w:lang w:val="en-GB"/>
          <w14:ligatures w14:val="none"/>
        </w:rPr>
      </w:pPr>
      <w:r w:rsidRPr="00ED4FE0">
        <w:rPr>
          <w:rFonts w:ascii="Times New Roman" w:eastAsia="Times New Roman" w:hAnsi="Times New Roman" w:cs="Times New Roman"/>
          <w:b/>
          <w:kern w:val="0"/>
          <w:sz w:val="20"/>
          <w:szCs w:val="20"/>
          <w:lang w:val="en-GB"/>
          <w14:ligatures w14:val="none"/>
        </w:rPr>
        <w:fldChar w:fldCharType="end"/>
      </w:r>
    </w:p>
    <w:p w14:paraId="0CD3D286" w14:textId="77777777" w:rsidR="00C8194E" w:rsidRPr="002D6A40" w:rsidRDefault="00C8194E">
      <w:pPr>
        <w:rPr>
          <w:sz w:val="20"/>
          <w:szCs w:val="20"/>
        </w:rPr>
      </w:pPr>
    </w:p>
    <w:sectPr w:rsidR="00C8194E" w:rsidRPr="002D6A40" w:rsidSect="009D776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279E"/>
    <w:multiLevelType w:val="hybridMultilevel"/>
    <w:tmpl w:val="25AE0702"/>
    <w:lvl w:ilvl="0" w:tplc="0409000F">
      <w:start w:val="1"/>
      <w:numFmt w:val="decimal"/>
      <w:pStyle w:val="Propos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F82CBA"/>
    <w:multiLevelType w:val="hybridMultilevel"/>
    <w:tmpl w:val="9EDC0714"/>
    <w:lvl w:ilvl="0" w:tplc="DB6C6578">
      <w:start w:val="1"/>
      <w:numFmt w:val="decimal"/>
      <w:lvlText w:val="Proposal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47F4463"/>
    <w:multiLevelType w:val="hybridMultilevel"/>
    <w:tmpl w:val="368CE2C2"/>
    <w:lvl w:ilvl="0" w:tplc="4D64787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4550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6507730">
    <w:abstractNumId w:val="2"/>
  </w:num>
  <w:num w:numId="2" w16cid:durableId="1192375906">
    <w:abstractNumId w:val="3"/>
  </w:num>
  <w:num w:numId="3" w16cid:durableId="418984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908501">
    <w:abstractNumId w:val="0"/>
  </w:num>
  <w:num w:numId="5" w16cid:durableId="212546004">
    <w:abstractNumId w:val="1"/>
  </w:num>
  <w:num w:numId="6" w16cid:durableId="1845900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7705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728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C96"/>
    <w:rsid w:val="00012791"/>
    <w:rsid w:val="0001433C"/>
    <w:rsid w:val="0006481D"/>
    <w:rsid w:val="0009606A"/>
    <w:rsid w:val="000A11EE"/>
    <w:rsid w:val="000A1558"/>
    <w:rsid w:val="000A1B0E"/>
    <w:rsid w:val="000E6F6A"/>
    <w:rsid w:val="00140CA8"/>
    <w:rsid w:val="001558BC"/>
    <w:rsid w:val="0016360C"/>
    <w:rsid w:val="00171A9B"/>
    <w:rsid w:val="0019367C"/>
    <w:rsid w:val="001D3D68"/>
    <w:rsid w:val="001F6AFF"/>
    <w:rsid w:val="00202127"/>
    <w:rsid w:val="002142F7"/>
    <w:rsid w:val="0021602E"/>
    <w:rsid w:val="00232A97"/>
    <w:rsid w:val="002437A7"/>
    <w:rsid w:val="00251E76"/>
    <w:rsid w:val="0027685A"/>
    <w:rsid w:val="002778DA"/>
    <w:rsid w:val="002C7D8A"/>
    <w:rsid w:val="002D6A40"/>
    <w:rsid w:val="002F557A"/>
    <w:rsid w:val="002F6B81"/>
    <w:rsid w:val="0030274C"/>
    <w:rsid w:val="003069A5"/>
    <w:rsid w:val="00314C7A"/>
    <w:rsid w:val="003273AF"/>
    <w:rsid w:val="003331C8"/>
    <w:rsid w:val="00341903"/>
    <w:rsid w:val="0035481E"/>
    <w:rsid w:val="003727DC"/>
    <w:rsid w:val="0038792E"/>
    <w:rsid w:val="0039242A"/>
    <w:rsid w:val="0039475E"/>
    <w:rsid w:val="003B38C2"/>
    <w:rsid w:val="003C0E49"/>
    <w:rsid w:val="00444306"/>
    <w:rsid w:val="00451413"/>
    <w:rsid w:val="004B42BE"/>
    <w:rsid w:val="004D4EC5"/>
    <w:rsid w:val="00505131"/>
    <w:rsid w:val="00512097"/>
    <w:rsid w:val="005256E1"/>
    <w:rsid w:val="005303BE"/>
    <w:rsid w:val="00547267"/>
    <w:rsid w:val="0055518A"/>
    <w:rsid w:val="005C44C8"/>
    <w:rsid w:val="005E3F79"/>
    <w:rsid w:val="005F0670"/>
    <w:rsid w:val="005F56E2"/>
    <w:rsid w:val="0061144B"/>
    <w:rsid w:val="00617823"/>
    <w:rsid w:val="00623E86"/>
    <w:rsid w:val="00631FE1"/>
    <w:rsid w:val="00635489"/>
    <w:rsid w:val="00650D6A"/>
    <w:rsid w:val="0066280A"/>
    <w:rsid w:val="00674104"/>
    <w:rsid w:val="006811F0"/>
    <w:rsid w:val="006D7376"/>
    <w:rsid w:val="006E54E3"/>
    <w:rsid w:val="0071088C"/>
    <w:rsid w:val="007152D7"/>
    <w:rsid w:val="00716B4D"/>
    <w:rsid w:val="00724CB3"/>
    <w:rsid w:val="00726640"/>
    <w:rsid w:val="00745345"/>
    <w:rsid w:val="00745EC4"/>
    <w:rsid w:val="00747C46"/>
    <w:rsid w:val="00764394"/>
    <w:rsid w:val="007C6D19"/>
    <w:rsid w:val="007D707B"/>
    <w:rsid w:val="00837E15"/>
    <w:rsid w:val="00840FC3"/>
    <w:rsid w:val="00841648"/>
    <w:rsid w:val="008459CB"/>
    <w:rsid w:val="00846929"/>
    <w:rsid w:val="00862E3D"/>
    <w:rsid w:val="008A40DD"/>
    <w:rsid w:val="008C3685"/>
    <w:rsid w:val="008C3ECE"/>
    <w:rsid w:val="008E44D2"/>
    <w:rsid w:val="0090636F"/>
    <w:rsid w:val="009078AB"/>
    <w:rsid w:val="009507E9"/>
    <w:rsid w:val="00962FE9"/>
    <w:rsid w:val="009702D7"/>
    <w:rsid w:val="009976CE"/>
    <w:rsid w:val="009B23AB"/>
    <w:rsid w:val="009C365F"/>
    <w:rsid w:val="009C3BA7"/>
    <w:rsid w:val="009D7762"/>
    <w:rsid w:val="009E20E3"/>
    <w:rsid w:val="009F53B9"/>
    <w:rsid w:val="00A21914"/>
    <w:rsid w:val="00A2618A"/>
    <w:rsid w:val="00A401E9"/>
    <w:rsid w:val="00A5011D"/>
    <w:rsid w:val="00A52EB6"/>
    <w:rsid w:val="00A6313E"/>
    <w:rsid w:val="00A6371C"/>
    <w:rsid w:val="00A83AA6"/>
    <w:rsid w:val="00AC78A6"/>
    <w:rsid w:val="00AD326C"/>
    <w:rsid w:val="00AF4C02"/>
    <w:rsid w:val="00B14C5E"/>
    <w:rsid w:val="00B4187D"/>
    <w:rsid w:val="00B73D84"/>
    <w:rsid w:val="00B97CC7"/>
    <w:rsid w:val="00BC7654"/>
    <w:rsid w:val="00C02E1D"/>
    <w:rsid w:val="00C146FA"/>
    <w:rsid w:val="00C25724"/>
    <w:rsid w:val="00C326B9"/>
    <w:rsid w:val="00C36C9B"/>
    <w:rsid w:val="00C44B14"/>
    <w:rsid w:val="00C477EC"/>
    <w:rsid w:val="00C707BE"/>
    <w:rsid w:val="00C8194E"/>
    <w:rsid w:val="00CA184E"/>
    <w:rsid w:val="00CB3C96"/>
    <w:rsid w:val="00CB4859"/>
    <w:rsid w:val="00CD5485"/>
    <w:rsid w:val="00CE3B8F"/>
    <w:rsid w:val="00CF2BFD"/>
    <w:rsid w:val="00CF7AFB"/>
    <w:rsid w:val="00CF7C05"/>
    <w:rsid w:val="00D23CE0"/>
    <w:rsid w:val="00D61CB8"/>
    <w:rsid w:val="00DA4FD1"/>
    <w:rsid w:val="00E36431"/>
    <w:rsid w:val="00E427C7"/>
    <w:rsid w:val="00E67DF8"/>
    <w:rsid w:val="00E70524"/>
    <w:rsid w:val="00EB6AC2"/>
    <w:rsid w:val="00ED4FE0"/>
    <w:rsid w:val="00F21B84"/>
    <w:rsid w:val="00F32FE4"/>
    <w:rsid w:val="00F413AE"/>
    <w:rsid w:val="00F43529"/>
    <w:rsid w:val="00F83455"/>
    <w:rsid w:val="00F97459"/>
    <w:rsid w:val="00FA234E"/>
    <w:rsid w:val="00FA6B67"/>
    <w:rsid w:val="00FD279F"/>
    <w:rsid w:val="00FE15D2"/>
    <w:rsid w:val="00FE593E"/>
    <w:rsid w:val="00FE6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3F88"/>
  <w15:chartTrackingRefBased/>
  <w15:docId w15:val="{B4DB63D3-497A-4DE4-AD46-94BA033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FE9"/>
  </w:style>
  <w:style w:type="paragraph" w:styleId="Heading2">
    <w:name w:val="heading 2"/>
    <w:basedOn w:val="Normal"/>
    <w:next w:val="Normal"/>
    <w:link w:val="Heading2Char"/>
    <w:uiPriority w:val="9"/>
    <w:unhideWhenUsed/>
    <w:qFormat/>
    <w:rsid w:val="00745EC4"/>
    <w:pPr>
      <w:keepNext/>
      <w:overflowPunct w:val="0"/>
      <w:autoSpaceDE w:val="0"/>
      <w:autoSpaceDN w:val="0"/>
      <w:adjustRightInd w:val="0"/>
      <w:spacing w:before="240" w:after="60" w:line="240" w:lineRule="auto"/>
      <w:textAlignment w:val="baseline"/>
      <w:outlineLvl w:val="1"/>
    </w:pPr>
    <w:rPr>
      <w:rFonts w:ascii="Calibri Light" w:eastAsia="Times New Roman" w:hAnsi="Calibri Light" w:cs="Times New Roman"/>
      <w:b/>
      <w:bCs/>
      <w:i/>
      <w:iCs/>
      <w:kern w:val="0"/>
      <w:sz w:val="28"/>
      <w:szCs w:val="28"/>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line="240" w:lineRule="auto"/>
      <w:jc w:val="both"/>
    </w:pPr>
    <w:rPr>
      <w:rFonts w:ascii="Times New Roman" w:hAnsi="Times New Roman"/>
      <w:b/>
    </w:rPr>
  </w:style>
  <w:style w:type="character" w:customStyle="1" w:styleId="ObservationChar">
    <w:name w:val="Observation Char"/>
    <w:basedOn w:val="DefaultParagraphFont"/>
    <w:link w:val="Observation"/>
    <w:rsid w:val="00AD326C"/>
    <w:rPr>
      <w:rFonts w:ascii="Times New Roman" w:hAnsi="Times New Roman"/>
      <w:b/>
    </w:rPr>
  </w:style>
  <w:style w:type="paragraph" w:styleId="ListParagraph">
    <w:name w:val="List Paragraph"/>
    <w:basedOn w:val="Normal"/>
    <w:uiPriority w:val="34"/>
    <w:qFormat/>
    <w:rsid w:val="00D23CE0"/>
    <w:pPr>
      <w:ind w:left="720"/>
      <w:contextualSpacing/>
    </w:pPr>
  </w:style>
  <w:style w:type="paragraph" w:styleId="CommentText">
    <w:name w:val="annotation text"/>
    <w:basedOn w:val="Normal"/>
    <w:link w:val="CommentTextChar"/>
    <w:uiPriority w:val="99"/>
    <w:semiHidden/>
    <w:unhideWhenUsed/>
    <w:rsid w:val="009F53B9"/>
    <w:pPr>
      <w:spacing w:line="240" w:lineRule="auto"/>
    </w:pPr>
    <w:rPr>
      <w:sz w:val="20"/>
      <w:szCs w:val="20"/>
    </w:rPr>
  </w:style>
  <w:style w:type="character" w:customStyle="1" w:styleId="CommentTextChar">
    <w:name w:val="Comment Text Char"/>
    <w:basedOn w:val="DefaultParagraphFont"/>
    <w:link w:val="CommentText"/>
    <w:uiPriority w:val="99"/>
    <w:semiHidden/>
    <w:rsid w:val="009F53B9"/>
    <w:rPr>
      <w:sz w:val="20"/>
      <w:szCs w:val="20"/>
    </w:rPr>
  </w:style>
  <w:style w:type="character" w:customStyle="1" w:styleId="Heading2Char">
    <w:name w:val="Heading 2 Char"/>
    <w:basedOn w:val="DefaultParagraphFont"/>
    <w:link w:val="Heading2"/>
    <w:uiPriority w:val="9"/>
    <w:rsid w:val="00745EC4"/>
    <w:rPr>
      <w:rFonts w:ascii="Calibri Light" w:eastAsia="Times New Roman" w:hAnsi="Calibri Light" w:cs="Times New Roman"/>
      <w:b/>
      <w:bCs/>
      <w:i/>
      <w:iCs/>
      <w:kern w:val="0"/>
      <w:sz w:val="28"/>
      <w:szCs w:val="28"/>
      <w:lang w:val="en-GB"/>
      <w14:ligatures w14:val="none"/>
    </w:rPr>
  </w:style>
  <w:style w:type="table" w:styleId="TableGrid">
    <w:name w:val="Table Grid"/>
    <w:basedOn w:val="TableNormal"/>
    <w:uiPriority w:val="39"/>
    <w:rsid w:val="00841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ListParagraph"/>
    <w:link w:val="ProposalChar"/>
    <w:qFormat/>
    <w:rsid w:val="0066280A"/>
    <w:pPr>
      <w:numPr>
        <w:numId w:val="3"/>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basedOn w:val="DefaultParagraphFont"/>
    <w:link w:val="Proposal"/>
    <w:rsid w:val="0066280A"/>
    <w:rPr>
      <w:rFonts w:ascii="Times New Roman" w:eastAsia="Times New Roman" w:hAnsi="Times New Roman" w:cs="Times New Roman"/>
      <w:b/>
      <w:kern w:val="0"/>
      <w:sz w:val="20"/>
      <w:szCs w:val="20"/>
      <w:lang w:val="en-GB"/>
      <w14:ligatures w14:val="none"/>
    </w:rPr>
  </w:style>
  <w:style w:type="paragraph" w:styleId="TOC1">
    <w:name w:val="toc 1"/>
    <w:basedOn w:val="Normal"/>
    <w:next w:val="Normal"/>
    <w:autoRedefine/>
    <w:uiPriority w:val="39"/>
    <w:unhideWhenUsed/>
    <w:rsid w:val="00ED4FE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4773">
      <w:bodyDiv w:val="1"/>
      <w:marLeft w:val="0"/>
      <w:marRight w:val="0"/>
      <w:marTop w:val="0"/>
      <w:marBottom w:val="0"/>
      <w:divBdr>
        <w:top w:val="none" w:sz="0" w:space="0" w:color="auto"/>
        <w:left w:val="none" w:sz="0" w:space="0" w:color="auto"/>
        <w:bottom w:val="none" w:sz="0" w:space="0" w:color="auto"/>
        <w:right w:val="none" w:sz="0" w:space="0" w:color="auto"/>
      </w:divBdr>
    </w:div>
    <w:div w:id="251747775">
      <w:bodyDiv w:val="1"/>
      <w:marLeft w:val="0"/>
      <w:marRight w:val="0"/>
      <w:marTop w:val="0"/>
      <w:marBottom w:val="0"/>
      <w:divBdr>
        <w:top w:val="none" w:sz="0" w:space="0" w:color="auto"/>
        <w:left w:val="none" w:sz="0" w:space="0" w:color="auto"/>
        <w:bottom w:val="none" w:sz="0" w:space="0" w:color="auto"/>
        <w:right w:val="none" w:sz="0" w:space="0" w:color="auto"/>
      </w:divBdr>
    </w:div>
    <w:div w:id="395208984">
      <w:bodyDiv w:val="1"/>
      <w:marLeft w:val="0"/>
      <w:marRight w:val="0"/>
      <w:marTop w:val="0"/>
      <w:marBottom w:val="0"/>
      <w:divBdr>
        <w:top w:val="none" w:sz="0" w:space="0" w:color="auto"/>
        <w:left w:val="none" w:sz="0" w:space="0" w:color="auto"/>
        <w:bottom w:val="none" w:sz="0" w:space="0" w:color="auto"/>
        <w:right w:val="none" w:sz="0" w:space="0" w:color="auto"/>
      </w:divBdr>
    </w:div>
    <w:div w:id="470294311">
      <w:bodyDiv w:val="1"/>
      <w:marLeft w:val="0"/>
      <w:marRight w:val="0"/>
      <w:marTop w:val="0"/>
      <w:marBottom w:val="0"/>
      <w:divBdr>
        <w:top w:val="none" w:sz="0" w:space="0" w:color="auto"/>
        <w:left w:val="none" w:sz="0" w:space="0" w:color="auto"/>
        <w:bottom w:val="none" w:sz="0" w:space="0" w:color="auto"/>
        <w:right w:val="none" w:sz="0" w:space="0" w:color="auto"/>
      </w:divBdr>
    </w:div>
    <w:div w:id="562108231">
      <w:bodyDiv w:val="1"/>
      <w:marLeft w:val="0"/>
      <w:marRight w:val="0"/>
      <w:marTop w:val="0"/>
      <w:marBottom w:val="0"/>
      <w:divBdr>
        <w:top w:val="none" w:sz="0" w:space="0" w:color="auto"/>
        <w:left w:val="none" w:sz="0" w:space="0" w:color="auto"/>
        <w:bottom w:val="none" w:sz="0" w:space="0" w:color="auto"/>
        <w:right w:val="none" w:sz="0" w:space="0" w:color="auto"/>
      </w:divBdr>
    </w:div>
    <w:div w:id="1381130511">
      <w:bodyDiv w:val="1"/>
      <w:marLeft w:val="0"/>
      <w:marRight w:val="0"/>
      <w:marTop w:val="0"/>
      <w:marBottom w:val="0"/>
      <w:divBdr>
        <w:top w:val="none" w:sz="0" w:space="0" w:color="auto"/>
        <w:left w:val="none" w:sz="0" w:space="0" w:color="auto"/>
        <w:bottom w:val="none" w:sz="0" w:space="0" w:color="auto"/>
        <w:right w:val="none" w:sz="0" w:space="0" w:color="auto"/>
      </w:divBdr>
    </w:div>
    <w:div w:id="144672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4EFEF-58B3-4D0D-B16F-4EF6BBA67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C788D-CAD0-4F43-8A68-8A40FE5ADEA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324</TotalTime>
  <Pages>1</Pages>
  <Words>7575</Words>
  <Characters>43179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147</cp:revision>
  <dcterms:created xsi:type="dcterms:W3CDTF">2024-02-17T00:06:00Z</dcterms:created>
  <dcterms:modified xsi:type="dcterms:W3CDTF">2024-02-19T04:39:00Z</dcterms:modified>
</cp:coreProperties>
</file>